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60"/>
        <w:jc w:val="center"/>
      </w:pPr>
      <w:r>
        <w:rPr>
          <w:rFonts w:ascii="Aptos Display" w:hAnsi="Aptos Display" w:eastAsia="Aptos Display"/>
          <w:b/>
          <w:color w:val="073B5C"/>
          <w:sz w:val="54"/>
        </w:rPr>
        <w:t>BLUE AMMONIA</w:t>
      </w:r>
    </w:p>
    <w:p>
      <w:pPr>
        <w:jc w:val="center"/>
      </w:pPr>
      <w:r>
        <w:rPr>
          <w:rFonts w:ascii="Aptos Display" w:hAnsi="Aptos Display" w:eastAsia="Aptos Display"/>
          <w:b/>
          <w:color w:val="00A6C8"/>
          <w:sz w:val="38"/>
        </w:rPr>
        <w:t>Portal Engine User Guide</w:t>
      </w:r>
    </w:p>
    <w:p>
      <w:pPr>
        <w:jc w:val="center"/>
      </w:pPr>
      <w:r>
        <w:rPr>
          <w:rFonts w:ascii="Aptos Display" w:hAnsi="Aptos Display" w:eastAsia="Aptos Display"/>
          <w:b/>
          <w:color w:val="073B5C"/>
          <w:sz w:val="26"/>
        </w:rPr>
        <w:t>Visitor, Trial, Subscriber, Sponsor, Partner, and Operator Reference</w:t>
      </w:r>
    </w:p>
    <w:p>
      <w:pPr>
        <w:jc w:val="center"/>
      </w:pPr>
      <w:r>
        <w:rPr>
          <w:rFonts w:ascii="Aptos" w:hAnsi="Aptos" w:eastAsia="Aptos"/>
          <w:color w:val="5E6B73"/>
          <w:sz w:val="19"/>
        </w:rPr>
        <w:t>Version 2.0 | Live Production Portal Engine | August 2026</w:t>
      </w:r>
    </w:p>
    <w:p>
      <w:pPr>
        <w:jc w:val="center"/>
      </w:pPr>
      <w:r>
        <w:rPr>
          <w:rFonts w:ascii="Aptos" w:hAnsi="Aptos" w:eastAsia="Aptos"/>
          <w:color w:val="0E2D3E"/>
          <w:sz w:val="18"/>
        </w:rPr>
        <w:t>This guide explains the current BlueAmmonia.com Portal Engine interface, account paths, intelligence functions, agents, maps, directories, commercial workflows, and operator controls.</w:t>
      </w:r>
    </w:p>
    <w:p>
      <w:pPr>
        <w:spacing w:after="20"/>
        <w:jc w:val="center"/>
      </w:pPr>
      <w:r>
        <w:drawing>
          <wp:inline xmlns:a="http://schemas.openxmlformats.org/drawingml/2006/main" xmlns:pic="http://schemas.openxmlformats.org/drawingml/2006/picture">
            <wp:extent cx="5943600" cy="4005875"/>
            <wp:docPr id="1" name="Picture 1"/>
            <wp:cNvGraphicFramePr>
              <a:graphicFrameLocks noChangeAspect="1"/>
            </wp:cNvGraphicFramePr>
            <a:graphic>
              <a:graphicData uri="http://schemas.openxmlformats.org/drawingml/2006/picture">
                <pic:pic>
                  <pic:nvPicPr>
                    <pic:cNvPr id="0" name="homepage_live.jpg"/>
                    <pic:cNvPicPr/>
                  </pic:nvPicPr>
                  <pic:blipFill>
                    <a:blip r:embed="rId11"/>
                    <a:stretch>
                      <a:fillRect/>
                    </a:stretch>
                  </pic:blipFill>
                  <pic:spPr>
                    <a:xfrm>
                      <a:off x="0" y="0"/>
                      <a:ext cx="5943600" cy="4005875"/>
                    </a:xfrm>
                    <a:prstGeom prst="rect"/>
                  </pic:spPr>
                </pic:pic>
              </a:graphicData>
            </a:graphic>
          </wp:inline>
        </w:drawing>
      </w:r>
    </w:p>
    <w:p>
      <w:pPr>
        <w:pStyle w:val="FigureCaption"/>
        <w:jc w:val="center"/>
      </w:pPr>
      <w:r>
        <w:t>Current BlueAmmonia.com Portal Engine production interface.</w:t>
      </w:r>
    </w:p>
    <w:tbl>
      <w:tblPr>
        <w:tblW w:type="auto" w:w="0"/>
        <w:jc w:val="center"/>
        <w:tblLayout w:type="autofit"/>
        <w:tblLook w:firstColumn="1" w:firstRow="1" w:lastColumn="0" w:lastRow="0" w:noHBand="0" w:noVBand="1" w:val="04A0"/>
      </w:tblPr>
      <w:tblGrid>
        <w:gridCol w:w="10340"/>
      </w:tblGrid>
      <w:tr>
        <w:trPr>
          <w:cantSplit/>
        </w:trPr>
        <w:tc>
          <w:tcPr>
            <w:tcW w:type="dxa" w:w="10340"/>
            <w:shd w:fill="EAF7FB"/>
            <w:tcBorders>
              <w:top w:val="single" w:sz="2" w:color="EAF7FB"/>
              <w:left w:val="single" w:sz="18" w:color="00A6C8"/>
              <w:bottom w:val="single" w:sz="2" w:color="EAF7FB"/>
              <w:right w:val="single" w:sz="2" w:color="EAF7FB"/>
            </w:tcBorders>
            <w:tcMar>
              <w:top w:w="120" w:type="dxa"/>
              <w:start w:w="160" w:type="dxa"/>
              <w:bottom w:w="120" w:type="dxa"/>
              <w:end w:w="160" w:type="dxa"/>
            </w:tcMar>
          </w:tcPr>
          <w:p>
            <w:r>
              <w:rPr>
                <w:rFonts w:ascii="Aptos" w:hAnsi="Aptos" w:eastAsia="Aptos"/>
                <w:b/>
                <w:color w:val="073B5C"/>
                <w:sz w:val="20"/>
              </w:rPr>
              <w:t>Domain and platform statement</w:t>
            </w:r>
          </w:p>
          <w:p>
            <w:pPr>
              <w:spacing w:after="0"/>
            </w:pPr>
            <w:r>
              <w:rPr>
                <w:rFonts w:ascii="Aptos" w:hAnsi="Aptos" w:eastAsia="Aptos"/>
                <w:color w:val="0E2D3E"/>
                <w:sz w:val="18"/>
              </w:rPr>
              <w:t>BlueAmmonia.com is the permanent exact-match home of the Blue Ammonia Intelligence Portal. The production portal is now delivered by the independent BAIOS Portal Engine through a specialized WordPress bridge. The domain is owned personally by Stevie T. Alston and licensed for use by Blue Ammonia Holdings LLC.</w:t>
            </w:r>
          </w:p>
        </w:tc>
      </w:tr>
    </w:tbl>
    <w:p>
      <w:pPr>
        <w:spacing w:after="0"/>
      </w:pPr>
    </w:p>
    <w:p>
      <w:r>
        <w:br w:type="page"/>
      </w:r>
    </w:p>
    <w:tbl>
      <w:tblPr>
        <w:tblW w:type="auto" w:w="0"/>
        <w:jc w:val="center"/>
        <w:tblLook w:firstColumn="1" w:firstRow="1" w:lastColumn="0" w:lastRow="0" w:noHBand="0" w:noVBand="1" w:val="04A0"/>
      </w:tblPr>
      <w:tblGrid>
        <w:gridCol w:w="10340"/>
      </w:tblGrid>
      <w:tr>
        <w:trPr>
          <w:cantSplit/>
        </w:trPr>
        <w:tc>
          <w:tcPr>
            <w:tcW w:type="dxa" w:w="10340"/>
            <w:shd w:fill="073B5C"/>
            <w:tcMar>
              <w:top w:w="160" w:type="dxa"/>
              <w:start w:w="190" w:type="dxa"/>
              <w:bottom w:w="150" w:type="dxa"/>
              <w:end w:w="190" w:type="dxa"/>
            </w:tcMar>
          </w:tcPr>
          <w:p>
            <w:r>
              <w:rPr>
                <w:rFonts w:ascii="Aptos" w:hAnsi="Aptos" w:eastAsia="Aptos"/>
                <w:b/>
                <w:color w:val="00A6C8"/>
                <w:sz w:val="17"/>
              </w:rPr>
              <w:t>QUICK START</w:t>
            </w:r>
          </w:p>
          <w:p>
            <w:r>
              <w:rPr>
                <w:rFonts w:ascii="Aptos Display" w:hAnsi="Aptos Display" w:eastAsia="Aptos Display"/>
                <w:b/>
                <w:color w:val="FFFFFF"/>
                <w:sz w:val="40"/>
              </w:rPr>
              <w:t>Choose the path that matches your role</w:t>
            </w:r>
          </w:p>
        </w:tc>
      </w:tr>
    </w:tbl>
    <w:p>
      <w:pPr>
        <w:spacing w:after="0"/>
      </w:pPr>
    </w:p>
    <w:tbl>
      <w:tblPr>
        <w:tblStyle w:val="TableGrid"/>
        <w:tblW w:type="auto" w:w="0"/>
        <w:jc w:val="center"/>
        <w:tblLook w:firstColumn="1" w:firstRow="1" w:lastColumn="0" w:lastRow="0" w:noHBand="0" w:noVBand="1" w:val="04A0"/>
      </w:tblPr>
      <w:tblGrid>
        <w:gridCol w:w="3447"/>
        <w:gridCol w:w="3447"/>
        <w:gridCol w:w="3447"/>
      </w:tblGrid>
      <w:tr>
        <w:trPr>
          <w:tblHeader w:val="true"/>
        </w:trPr>
        <w:tc>
          <w:tcPr>
            <w:tcW w:type="dxa" w:w="1800"/>
            <w:shd w:fill="073B5C"/>
            <w:tcMar>
              <w:top w:w="90" w:type="dxa"/>
              <w:start w:w="100" w:type="dxa"/>
              <w:bottom w:w="90" w:type="dxa"/>
              <w:end w:w="100" w:type="dxa"/>
            </w:tcMar>
          </w:tcPr>
          <w:p>
            <w:pPr>
              <w:jc w:val="left"/>
            </w:pPr>
            <w:r>
              <w:rPr>
                <w:rFonts w:ascii="Aptos" w:hAnsi="Aptos" w:eastAsia="Aptos"/>
                <w:b/>
                <w:color w:val="FFFFFF"/>
                <w:sz w:val="18"/>
              </w:rPr>
              <w:t>Role</w:t>
            </w:r>
          </w:p>
        </w:tc>
        <w:tc>
          <w:tcPr>
            <w:tcW w:type="dxa" w:w="2880"/>
            <w:shd w:fill="073B5C"/>
            <w:tcMar>
              <w:top w:w="90" w:type="dxa"/>
              <w:start w:w="100" w:type="dxa"/>
              <w:bottom w:w="90" w:type="dxa"/>
              <w:end w:w="100" w:type="dxa"/>
            </w:tcMar>
          </w:tcPr>
          <w:p>
            <w:pPr>
              <w:jc w:val="left"/>
            </w:pPr>
            <w:r>
              <w:rPr>
                <w:rFonts w:ascii="Aptos" w:hAnsi="Aptos" w:eastAsia="Aptos"/>
                <w:b/>
                <w:color w:val="FFFFFF"/>
                <w:sz w:val="18"/>
              </w:rPr>
              <w:t>Start Here</w:t>
            </w:r>
          </w:p>
        </w:tc>
        <w:tc>
          <w:tcPr>
            <w:tcW w:type="dxa" w:w="5112"/>
            <w:shd w:fill="073B5C"/>
            <w:tcMar>
              <w:top w:w="90" w:type="dxa"/>
              <w:start w:w="100" w:type="dxa"/>
              <w:bottom w:w="90" w:type="dxa"/>
              <w:end w:w="100" w:type="dxa"/>
            </w:tcMar>
          </w:tcPr>
          <w:p>
            <w:pPr>
              <w:jc w:val="left"/>
            </w:pPr>
            <w:r>
              <w:rPr>
                <w:rFonts w:ascii="Aptos" w:hAnsi="Aptos" w:eastAsia="Aptos"/>
                <w:b/>
                <w:color w:val="FFFFFF"/>
                <w:sz w:val="18"/>
              </w:rPr>
              <w:t>Typical Next Steps</w:t>
            </w:r>
          </w:p>
        </w:tc>
      </w:tr>
      <w:tr>
        <w:tc>
          <w:tcPr>
            <w:tcW w:type="dxa" w:w="1800"/>
            <w:tcMar>
              <w:top w:w="75" w:type="dxa"/>
              <w:start w:w="90" w:type="dxa"/>
              <w:bottom w:w="75" w:type="dxa"/>
              <w:end w:w="90" w:type="dxa"/>
            </w:tcMar>
            <w:vAlign w:val="top"/>
          </w:tcPr>
          <w:p>
            <w:r>
              <w:rPr>
                <w:rFonts w:ascii="Aptos" w:hAnsi="Aptos" w:eastAsia="Aptos"/>
                <w:color w:val="0E2D3E"/>
                <w:sz w:val="17"/>
              </w:rPr>
              <w:t>Public visitor</w:t>
            </w:r>
          </w:p>
        </w:tc>
        <w:tc>
          <w:tcPr>
            <w:tcW w:type="dxa" w:w="2880"/>
            <w:tcMar>
              <w:top w:w="75" w:type="dxa"/>
              <w:start w:w="90" w:type="dxa"/>
              <w:bottom w:w="75" w:type="dxa"/>
              <w:end w:w="90" w:type="dxa"/>
            </w:tcMar>
            <w:vAlign w:val="top"/>
          </w:tcPr>
          <w:p>
            <w:r>
              <w:rPr>
                <w:rFonts w:ascii="Aptos" w:hAnsi="Aptos" w:eastAsia="Aptos"/>
                <w:color w:val="0E2D3E"/>
                <w:sz w:val="17"/>
              </w:rPr>
              <w:t>Front door or public homepage</w:t>
            </w:r>
          </w:p>
        </w:tc>
        <w:tc>
          <w:tcPr>
            <w:tcW w:type="dxa" w:w="5112"/>
            <w:tcMar>
              <w:top w:w="75" w:type="dxa"/>
              <w:start w:w="90" w:type="dxa"/>
              <w:bottom w:w="75" w:type="dxa"/>
              <w:end w:w="90" w:type="dxa"/>
            </w:tcMar>
            <w:vAlign w:val="top"/>
          </w:tcPr>
          <w:p>
            <w:r>
              <w:rPr>
                <w:rFonts w:ascii="Aptos" w:hAnsi="Aptos" w:eastAsia="Aptos"/>
                <w:color w:val="0E2D3E"/>
                <w:sz w:val="17"/>
              </w:rPr>
              <w:t>Review platform purpose, request prospectus, submit inquiry, explore public pages or start a trial.</w:t>
            </w:r>
          </w:p>
        </w:tc>
      </w:tr>
      <w:tr>
        <w:tc>
          <w:tcPr>
            <w:tcW w:type="dxa" w:w="1800"/>
            <w:tcMar>
              <w:top w:w="75" w:type="dxa"/>
              <w:start w:w="90" w:type="dxa"/>
              <w:bottom w:w="75" w:type="dxa"/>
              <w:end w:w="90" w:type="dxa"/>
            </w:tcMar>
            <w:shd w:fill="F4FAFC"/>
            <w:vAlign w:val="top"/>
          </w:tcPr>
          <w:p>
            <w:r>
              <w:rPr>
                <w:rFonts w:ascii="Aptos" w:hAnsi="Aptos" w:eastAsia="Aptos"/>
                <w:color w:val="0E2D3E"/>
                <w:sz w:val="17"/>
              </w:rPr>
              <w:t>Trial user</w:t>
            </w:r>
          </w:p>
        </w:tc>
        <w:tc>
          <w:tcPr>
            <w:tcW w:type="dxa" w:w="2880"/>
            <w:tcMar>
              <w:top w:w="75" w:type="dxa"/>
              <w:start w:w="90" w:type="dxa"/>
              <w:bottom w:w="75" w:type="dxa"/>
              <w:end w:w="90" w:type="dxa"/>
            </w:tcMar>
            <w:shd w:fill="F4FAFC"/>
            <w:vAlign w:val="top"/>
          </w:tcPr>
          <w:p>
            <w:r>
              <w:rPr>
                <w:rFonts w:ascii="Aptos" w:hAnsi="Aptos" w:eastAsia="Aptos"/>
                <w:color w:val="0E2D3E"/>
                <w:sz w:val="17"/>
              </w:rPr>
              <w:t>Start 7-Day Trial</w:t>
            </w:r>
          </w:p>
        </w:tc>
        <w:tc>
          <w:tcPr>
            <w:tcW w:type="dxa" w:w="5112"/>
            <w:tcMar>
              <w:top w:w="75" w:type="dxa"/>
              <w:start w:w="90" w:type="dxa"/>
              <w:bottom w:w="75" w:type="dxa"/>
              <w:end w:w="90" w:type="dxa"/>
            </w:tcMar>
            <w:shd w:fill="F4FAFC"/>
            <w:vAlign w:val="top"/>
          </w:tcPr>
          <w:p>
            <w:r>
              <w:rPr>
                <w:rFonts w:ascii="Aptos" w:hAnsi="Aptos" w:eastAsia="Aptos"/>
                <w:color w:val="0E2D3E"/>
                <w:sz w:val="17"/>
              </w:rPr>
              <w:t>Automatic account creation -&gt; email -&gt; member dashboard -&gt; permitted member areas.</w:t>
            </w:r>
          </w:p>
        </w:tc>
      </w:tr>
      <w:tr>
        <w:tc>
          <w:tcPr>
            <w:tcW w:type="dxa" w:w="1800"/>
            <w:tcMar>
              <w:top w:w="75" w:type="dxa"/>
              <w:start w:w="90" w:type="dxa"/>
              <w:bottom w:w="75" w:type="dxa"/>
              <w:end w:w="90" w:type="dxa"/>
            </w:tcMar>
            <w:vAlign w:val="top"/>
          </w:tcPr>
          <w:p>
            <w:r>
              <w:rPr>
                <w:rFonts w:ascii="Aptos" w:hAnsi="Aptos" w:eastAsia="Aptos"/>
                <w:color w:val="0E2D3E"/>
                <w:sz w:val="17"/>
              </w:rPr>
              <w:t>Subscriber / sponsor</w:t>
            </w:r>
          </w:p>
        </w:tc>
        <w:tc>
          <w:tcPr>
            <w:tcW w:type="dxa" w:w="2880"/>
            <w:tcMar>
              <w:top w:w="75" w:type="dxa"/>
              <w:start w:w="90" w:type="dxa"/>
              <w:bottom w:w="75" w:type="dxa"/>
              <w:end w:w="90" w:type="dxa"/>
            </w:tcMar>
            <w:vAlign w:val="top"/>
          </w:tcPr>
          <w:p>
            <w:r>
              <w:rPr>
                <w:rFonts w:ascii="Aptos" w:hAnsi="Aptos" w:eastAsia="Aptos"/>
                <w:color w:val="0E2D3E"/>
                <w:sz w:val="17"/>
              </w:rPr>
              <w:t>Member Login</w:t>
            </w:r>
          </w:p>
        </w:tc>
        <w:tc>
          <w:tcPr>
            <w:tcW w:type="dxa" w:w="5112"/>
            <w:tcMar>
              <w:top w:w="75" w:type="dxa"/>
              <w:start w:w="90" w:type="dxa"/>
              <w:bottom w:w="75" w:type="dxa"/>
              <w:end w:w="90" w:type="dxa"/>
            </w:tcMar>
            <w:vAlign w:val="top"/>
          </w:tcPr>
          <w:p>
            <w:r>
              <w:rPr>
                <w:rFonts w:ascii="Aptos" w:hAnsi="Aptos" w:eastAsia="Aptos"/>
                <w:color w:val="0E2D3E"/>
                <w:sz w:val="17"/>
              </w:rPr>
              <w:t>Dashboard -&gt; premium intelligence, agents, directories, map, RFQs, notifications and downloads.</w:t>
            </w:r>
          </w:p>
        </w:tc>
      </w:tr>
      <w:tr>
        <w:tc>
          <w:tcPr>
            <w:tcW w:type="dxa" w:w="1800"/>
            <w:tcMar>
              <w:top w:w="75" w:type="dxa"/>
              <w:start w:w="90" w:type="dxa"/>
              <w:bottom w:w="75" w:type="dxa"/>
              <w:end w:w="90" w:type="dxa"/>
            </w:tcMar>
            <w:shd w:fill="F4FAFC"/>
            <w:vAlign w:val="top"/>
          </w:tcPr>
          <w:p>
            <w:r>
              <w:rPr>
                <w:rFonts w:ascii="Aptos" w:hAnsi="Aptos" w:eastAsia="Aptos"/>
                <w:color w:val="0E2D3E"/>
                <w:sz w:val="17"/>
              </w:rPr>
              <w:t>Company / recruiter</w:t>
            </w:r>
          </w:p>
        </w:tc>
        <w:tc>
          <w:tcPr>
            <w:tcW w:type="dxa" w:w="2880"/>
            <w:tcMar>
              <w:top w:w="75" w:type="dxa"/>
              <w:start w:w="90" w:type="dxa"/>
              <w:bottom w:w="75" w:type="dxa"/>
              <w:end w:w="90" w:type="dxa"/>
            </w:tcMar>
            <w:shd w:fill="F4FAFC"/>
            <w:vAlign w:val="top"/>
          </w:tcPr>
          <w:p>
            <w:r>
              <w:rPr>
                <w:rFonts w:ascii="Aptos" w:hAnsi="Aptos" w:eastAsia="Aptos"/>
                <w:color w:val="0E2D3E"/>
                <w:sz w:val="17"/>
              </w:rPr>
              <w:t>Jobs, Partner Center, Payments or Contact</w:t>
            </w:r>
          </w:p>
        </w:tc>
        <w:tc>
          <w:tcPr>
            <w:tcW w:type="dxa" w:w="5112"/>
            <w:tcMar>
              <w:top w:w="75" w:type="dxa"/>
              <w:start w:w="90" w:type="dxa"/>
              <w:bottom w:w="75" w:type="dxa"/>
              <w:end w:w="90" w:type="dxa"/>
            </w:tcMar>
            <w:shd w:fill="F4FAFC"/>
            <w:vAlign w:val="top"/>
          </w:tcPr>
          <w:p>
            <w:r>
              <w:rPr>
                <w:rFonts w:ascii="Aptos" w:hAnsi="Aptos" w:eastAsia="Aptos"/>
                <w:color w:val="0E2D3E"/>
                <w:sz w:val="17"/>
              </w:rPr>
              <w:t>Submit a job, request placement, purchase a defined option or discuss an enterprise arrangement.</w:t>
            </w:r>
          </w:p>
        </w:tc>
      </w:tr>
      <w:tr>
        <w:tc>
          <w:tcPr>
            <w:tcW w:type="dxa" w:w="1800"/>
            <w:tcMar>
              <w:top w:w="75" w:type="dxa"/>
              <w:start w:w="90" w:type="dxa"/>
              <w:bottom w:w="75" w:type="dxa"/>
              <w:end w:w="90" w:type="dxa"/>
            </w:tcMar>
            <w:vAlign w:val="top"/>
          </w:tcPr>
          <w:p>
            <w:r>
              <w:rPr>
                <w:rFonts w:ascii="Aptos" w:hAnsi="Aptos" w:eastAsia="Aptos"/>
                <w:color w:val="0E2D3E"/>
                <w:sz w:val="17"/>
              </w:rPr>
              <w:t>Operator / administrator</w:t>
            </w:r>
          </w:p>
        </w:tc>
        <w:tc>
          <w:tcPr>
            <w:tcW w:type="dxa" w:w="2880"/>
            <w:tcMar>
              <w:top w:w="75" w:type="dxa"/>
              <w:start w:w="90" w:type="dxa"/>
              <w:bottom w:w="75" w:type="dxa"/>
              <w:end w:w="90" w:type="dxa"/>
            </w:tcMar>
            <w:vAlign w:val="top"/>
          </w:tcPr>
          <w:p>
            <w:r>
              <w:rPr>
                <w:rFonts w:ascii="Aptos" w:hAnsi="Aptos" w:eastAsia="Aptos"/>
                <w:color w:val="0E2D3E"/>
                <w:sz w:val="17"/>
              </w:rPr>
              <w:t>WordPress BAIOS Engine menu + local Setup Console</w:t>
            </w:r>
          </w:p>
        </w:tc>
        <w:tc>
          <w:tcPr>
            <w:tcW w:type="dxa" w:w="5112"/>
            <w:tcMar>
              <w:top w:w="75" w:type="dxa"/>
              <w:start w:w="90" w:type="dxa"/>
              <w:bottom w:w="75" w:type="dxa"/>
              <w:end w:w="90" w:type="dxa"/>
            </w:tcMar>
            <w:vAlign w:val="top"/>
          </w:tcPr>
          <w:p>
            <w:r>
              <w:rPr>
                <w:rFonts w:ascii="Aptos" w:hAnsi="Aptos" w:eastAsia="Aptos"/>
                <w:color w:val="0E2D3E"/>
                <w:sz w:val="17"/>
              </w:rPr>
              <w:t>Verify health, access mode, bridge pairing, synchronization, LLM, tunnel, continuity and backups.</w:t>
            </w:r>
          </w:p>
        </w:tc>
      </w:tr>
    </w:tbl>
    <w:p>
      <w:pPr>
        <w:spacing w:after="20"/>
      </w:pPr>
    </w:p>
    <w:tbl>
      <w:tblPr>
        <w:tblW w:type="auto" w:w="0"/>
        <w:jc w:val="center"/>
        <w:tblLayout w:type="autofit"/>
        <w:tblLook w:firstColumn="1" w:firstRow="1" w:lastColumn="0" w:lastRow="0" w:noHBand="0" w:noVBand="1" w:val="04A0"/>
      </w:tblPr>
      <w:tblGrid>
        <w:gridCol w:w="10340"/>
      </w:tblGrid>
      <w:tr>
        <w:trPr>
          <w:cantSplit/>
        </w:trPr>
        <w:tc>
          <w:tcPr>
            <w:tcW w:type="dxa" w:w="10340"/>
            <w:shd w:fill="EAF7FB"/>
            <w:tcBorders>
              <w:top w:val="single" w:sz="2" w:color="EAF7FB"/>
              <w:left w:val="single" w:sz="18" w:color="00A6C8"/>
              <w:bottom w:val="single" w:sz="2" w:color="EAF7FB"/>
              <w:right w:val="single" w:sz="2" w:color="EAF7FB"/>
            </w:tcBorders>
            <w:tcMar>
              <w:top w:w="120" w:type="dxa"/>
              <w:start w:w="160" w:type="dxa"/>
              <w:bottom w:w="120" w:type="dxa"/>
              <w:end w:w="160" w:type="dxa"/>
            </w:tcMar>
          </w:tcPr>
          <w:p>
            <w:r>
              <w:rPr>
                <w:rFonts w:ascii="Aptos" w:hAnsi="Aptos" w:eastAsia="Aptos"/>
                <w:b/>
                <w:color w:val="073B5C"/>
                <w:sz w:val="20"/>
              </w:rPr>
              <w:t>Important distinction</w:t>
            </w:r>
          </w:p>
          <w:p>
            <w:pPr>
              <w:spacing w:after="0"/>
            </w:pPr>
            <w:r>
              <w:rPr>
                <w:rFonts w:ascii="Aptos" w:hAnsi="Aptos" w:eastAsia="Aptos"/>
                <w:color w:val="0E2D3E"/>
                <w:sz w:val="18"/>
              </w:rPr>
              <w:t>The front door and Portal Engine access mode are separate controls. A front door can be enabled while the Engine is Open or Restricted. Changing access mode does not automatically remove the front door.</w:t>
            </w:r>
          </w:p>
        </w:tc>
      </w:tr>
    </w:tbl>
    <w:p>
      <w:pPr>
        <w:spacing w:after="0"/>
      </w:pPr>
    </w:p>
    <w:p>
      <w:r>
        <w:br w:type="page"/>
      </w:r>
    </w:p>
    <w:p>
      <w:pPr>
        <w:pStyle w:val="Heading1"/>
        <w:spacing w:before="0"/>
      </w:pPr>
      <w:r>
        <w:rPr>
          <w:rFonts w:ascii="Aptos Display" w:hAnsi="Aptos Display" w:eastAsia="Aptos Display"/>
          <w:b/>
          <w:color w:val="073B5C"/>
          <w:sz w:val="36"/>
        </w:rPr>
        <w:t>1. Public Front Door</w:t>
      </w:r>
    </w:p>
    <w:p>
      <w:pPr>
        <w:spacing w:after="20"/>
        <w:jc w:val="center"/>
      </w:pPr>
      <w:r>
        <w:drawing>
          <wp:inline xmlns:a="http://schemas.openxmlformats.org/drawingml/2006/main" xmlns:pic="http://schemas.openxmlformats.org/drawingml/2006/picture">
            <wp:extent cx="6263640" cy="3378886"/>
            <wp:docPr id="2" name="Picture 2"/>
            <wp:cNvGraphicFramePr>
              <a:graphicFrameLocks noChangeAspect="1"/>
            </wp:cNvGraphicFramePr>
            <a:graphic>
              <a:graphicData uri="http://schemas.openxmlformats.org/drawingml/2006/picture">
                <pic:pic>
                  <pic:nvPicPr>
                    <pic:cNvPr id="0" name="front_door.jpg"/>
                    <pic:cNvPicPr/>
                  </pic:nvPicPr>
                  <pic:blipFill>
                    <a:blip r:embed="rId12"/>
                    <a:stretch>
                      <a:fillRect/>
                    </a:stretch>
                  </pic:blipFill>
                  <pic:spPr>
                    <a:xfrm>
                      <a:off x="0" y="0"/>
                      <a:ext cx="6263640" cy="3378886"/>
                    </a:xfrm>
                    <a:prstGeom prst="rect"/>
                  </pic:spPr>
                </pic:pic>
              </a:graphicData>
            </a:graphic>
          </wp:inline>
        </w:drawing>
      </w:r>
    </w:p>
    <w:p>
      <w:pPr>
        <w:pStyle w:val="FigureCaption"/>
        <w:jc w:val="center"/>
      </w:pPr>
      <w:r>
        <w:t>Anonymous visitor front door on BlueAmmonia.com.</w:t>
      </w:r>
    </w:p>
    <w:p>
      <w:pPr>
        <w:pStyle w:val="ListNumber"/>
        <w:spacing w:after="40"/>
      </w:pPr>
      <w:r>
        <w:rPr>
          <w:rFonts w:ascii="Aptos" w:hAnsi="Aptos" w:eastAsia="Aptos"/>
          <w:sz w:val="18"/>
        </w:rPr>
        <w:t>Choose Member Login when you already have a subscriber, trial, sponsor or commercial-access account.</w:t>
      </w:r>
    </w:p>
    <w:p>
      <w:pPr>
        <w:pStyle w:val="ListNumber"/>
        <w:spacing w:after="40"/>
      </w:pPr>
      <w:r>
        <w:rPr>
          <w:rFonts w:ascii="Aptos" w:hAnsi="Aptos" w:eastAsia="Aptos"/>
          <w:sz w:val="18"/>
        </w:rPr>
        <w:t>Choose Start 7-Day Trial for immediate trial-account creation and sign-in.</w:t>
      </w:r>
    </w:p>
    <w:p>
      <w:pPr>
        <w:pStyle w:val="ListNumber"/>
        <w:spacing w:after="40"/>
      </w:pPr>
      <w:r>
        <w:rPr>
          <w:rFonts w:ascii="Aptos" w:hAnsi="Aptos" w:eastAsia="Aptos"/>
          <w:sz w:val="18"/>
        </w:rPr>
        <w:t>Choose Request Prospectus to submit the controlled prospectus request form.</w:t>
      </w:r>
    </w:p>
    <w:p>
      <w:pPr>
        <w:pStyle w:val="ListNumber"/>
        <w:spacing w:after="40"/>
      </w:pPr>
      <w:r>
        <w:rPr>
          <w:rFonts w:ascii="Aptos" w:hAnsi="Aptos" w:eastAsia="Aptos"/>
          <w:sz w:val="18"/>
        </w:rPr>
        <w:t>Choose Contact / Submit Inquiry for general, commercial, partnership or support inquiries.</w:t>
      </w:r>
    </w:p>
    <w:p>
      <w:pPr>
        <w:pStyle w:val="ListNumber"/>
        <w:spacing w:after="40"/>
      </w:pPr>
      <w:r>
        <w:rPr>
          <w:rFonts w:ascii="Aptos" w:hAnsi="Aptos" w:eastAsia="Aptos"/>
          <w:sz w:val="18"/>
        </w:rPr>
        <w:t>Choose Visit AllAmmonia.com to view the developing cross-market network.</w:t>
      </w:r>
    </w:p>
    <w:tbl>
      <w:tblPr>
        <w:tblW w:type="auto" w:w="0"/>
        <w:jc w:val="center"/>
        <w:tblLayout w:type="autofit"/>
        <w:tblLook w:firstColumn="1" w:firstRow="1" w:lastColumn="0" w:lastRow="0" w:noHBand="0" w:noVBand="1" w:val="04A0"/>
      </w:tblPr>
      <w:tblGrid>
        <w:gridCol w:w="10340"/>
      </w:tblGrid>
      <w:tr>
        <w:trPr>
          <w:cantSplit/>
        </w:trPr>
        <w:tc>
          <w:tcPr>
            <w:tcW w:type="dxa" w:w="10340"/>
            <w:shd w:fill="EAF7FB"/>
            <w:tcBorders>
              <w:top w:val="single" w:sz="2" w:color="EAF7FB"/>
              <w:left w:val="single" w:sz="18" w:color="00A6C8"/>
              <w:bottom w:val="single" w:sz="2" w:color="EAF7FB"/>
              <w:right w:val="single" w:sz="2" w:color="EAF7FB"/>
            </w:tcBorders>
            <w:tcMar>
              <w:top w:w="120" w:type="dxa"/>
              <w:start w:w="160" w:type="dxa"/>
              <w:bottom w:w="120" w:type="dxa"/>
              <w:end w:w="160" w:type="dxa"/>
            </w:tcMar>
          </w:tcPr>
          <w:p>
            <w:r>
              <w:rPr>
                <w:rFonts w:ascii="Aptos" w:hAnsi="Aptos" w:eastAsia="Aptos"/>
                <w:b/>
                <w:color w:val="073B5C"/>
                <w:sz w:val="20"/>
              </w:rPr>
              <w:t>Trial notice</w:t>
            </w:r>
          </w:p>
          <w:p>
            <w:pPr>
              <w:spacing w:after="0"/>
            </w:pPr>
            <w:r>
              <w:rPr>
                <w:rFonts w:ascii="Aptos" w:hAnsi="Aptos" w:eastAsia="Aptos"/>
                <w:color w:val="0E2D3E"/>
                <w:sz w:val="18"/>
              </w:rPr>
              <w:t>A one-click trial creates a temporary WordPress account linked to the browser session, signs the user in, sends account emails, applies subscriber capabilities and schedules automatic expiration. IP safety limits and monitoring reduce automated abuse.</w:t>
            </w:r>
          </w:p>
        </w:tc>
      </w:tr>
    </w:tbl>
    <w:p>
      <w:pPr>
        <w:spacing w:after="0"/>
      </w:pPr>
    </w:p>
    <w:p>
      <w:r>
        <w:br w:type="page"/>
      </w:r>
    </w:p>
    <w:p>
      <w:pPr>
        <w:pStyle w:val="Heading1"/>
        <w:spacing w:before="0"/>
      </w:pPr>
      <w:r>
        <w:rPr>
          <w:rFonts w:ascii="Aptos Display" w:hAnsi="Aptos Display" w:eastAsia="Aptos Display"/>
          <w:b/>
          <w:color w:val="073B5C"/>
          <w:sz w:val="36"/>
        </w:rPr>
        <w:t>2. Member Login and Account Recovery</w:t>
      </w:r>
    </w:p>
    <w:p>
      <w:pPr>
        <w:spacing w:after="20"/>
        <w:jc w:val="center"/>
      </w:pPr>
      <w:r>
        <w:drawing>
          <wp:inline xmlns:a="http://schemas.openxmlformats.org/drawingml/2006/main" xmlns:pic="http://schemas.openxmlformats.org/drawingml/2006/picture">
            <wp:extent cx="6172200" cy="3309436"/>
            <wp:docPr id="3" name="Picture 3"/>
            <wp:cNvGraphicFramePr>
              <a:graphicFrameLocks noChangeAspect="1"/>
            </wp:cNvGraphicFramePr>
            <a:graphic>
              <a:graphicData uri="http://schemas.openxmlformats.org/drawingml/2006/picture">
                <pic:pic>
                  <pic:nvPicPr>
                    <pic:cNvPr id="0" name="member_login.jpg"/>
                    <pic:cNvPicPr/>
                  </pic:nvPicPr>
                  <pic:blipFill>
                    <a:blip r:embed="rId13"/>
                    <a:stretch>
                      <a:fillRect/>
                    </a:stretch>
                  </pic:blipFill>
                  <pic:spPr>
                    <a:xfrm>
                      <a:off x="0" y="0"/>
                      <a:ext cx="6172200" cy="3309436"/>
                    </a:xfrm>
                    <a:prstGeom prst="rect"/>
                  </pic:spPr>
                </pic:pic>
              </a:graphicData>
            </a:graphic>
          </wp:inline>
        </w:drawing>
      </w:r>
    </w:p>
    <w:p>
      <w:pPr>
        <w:pStyle w:val="FigureCaption"/>
        <w:jc w:val="center"/>
      </w:pPr>
      <w:r>
        <w:t>Member login and account-recovery interface.</w:t>
      </w:r>
    </w:p>
    <w:p>
      <w:pPr>
        <w:pStyle w:val="ListBullet"/>
        <w:spacing w:after="40"/>
      </w:pPr>
      <w:r>
        <w:rPr>
          <w:rFonts w:ascii="Aptos" w:hAnsi="Aptos" w:eastAsia="Aptos"/>
          <w:sz w:val="18"/>
        </w:rPr>
        <w:t>Enter the username or email address associated with the account.</w:t>
      </w:r>
    </w:p>
    <w:p>
      <w:pPr>
        <w:pStyle w:val="ListBullet"/>
        <w:spacing w:after="40"/>
      </w:pPr>
      <w:r>
        <w:rPr>
          <w:rFonts w:ascii="Aptos" w:hAnsi="Aptos" w:eastAsia="Aptos"/>
          <w:sz w:val="18"/>
        </w:rPr>
        <w:t>Enter the account password and optionally select Remember Me.</w:t>
      </w:r>
    </w:p>
    <w:p>
      <w:pPr>
        <w:pStyle w:val="ListBullet"/>
        <w:spacing w:after="40"/>
      </w:pPr>
      <w:r>
        <w:rPr>
          <w:rFonts w:ascii="Aptos" w:hAnsi="Aptos" w:eastAsia="Aptos"/>
          <w:sz w:val="18"/>
        </w:rPr>
        <w:t>After successful login, the user is returned to the commercial member dashboard.</w:t>
      </w:r>
    </w:p>
    <w:p>
      <w:pPr>
        <w:pStyle w:val="ListBullet"/>
        <w:spacing w:after="40"/>
      </w:pPr>
      <w:r>
        <w:rPr>
          <w:rFonts w:ascii="Aptos" w:hAnsi="Aptos" w:eastAsia="Aptos"/>
          <w:sz w:val="18"/>
        </w:rPr>
        <w:t>Use the account-recovery section or the standard WordPress reset link when credentials are unavailable.</w:t>
      </w:r>
    </w:p>
    <w:p>
      <w:pPr>
        <w:pStyle w:val="ListBullet"/>
        <w:spacing w:after="40"/>
      </w:pPr>
      <w:r>
        <w:rPr>
          <w:rFonts w:ascii="Aptos" w:hAnsi="Aptos" w:eastAsia="Aptos"/>
          <w:sz w:val="18"/>
        </w:rPr>
        <w:t>Contact support when account email, subscription status or entitlement cannot be matched.</w:t>
      </w:r>
    </w:p>
    <w:tbl>
      <w:tblPr>
        <w:tblW w:type="auto" w:w="0"/>
        <w:jc w:val="center"/>
        <w:tblLayout w:type="autofit"/>
        <w:tblLook w:firstColumn="1" w:firstRow="1" w:lastColumn="0" w:lastRow="0" w:noHBand="0" w:noVBand="1" w:val="04A0"/>
      </w:tblPr>
      <w:tblGrid>
        <w:gridCol w:w="10340"/>
      </w:tblGrid>
      <w:tr>
        <w:trPr>
          <w:cantSplit/>
        </w:trPr>
        <w:tc>
          <w:tcPr>
            <w:tcW w:type="dxa" w:w="10340"/>
            <w:shd w:fill="EAF7FB"/>
            <w:tcBorders>
              <w:top w:val="single" w:sz="2" w:color="EAF7FB"/>
              <w:left w:val="single" w:sz="18" w:color="00A6C8"/>
              <w:bottom w:val="single" w:sz="2" w:color="EAF7FB"/>
              <w:right w:val="single" w:sz="2" w:color="EAF7FB"/>
            </w:tcBorders>
            <w:tcMar>
              <w:top w:w="120" w:type="dxa"/>
              <w:start w:w="160" w:type="dxa"/>
              <w:bottom w:w="120" w:type="dxa"/>
              <w:end w:w="160" w:type="dxa"/>
            </w:tcMar>
          </w:tcPr>
          <w:p>
            <w:r>
              <w:rPr>
                <w:rFonts w:ascii="Aptos" w:hAnsi="Aptos" w:eastAsia="Aptos"/>
                <w:b/>
                <w:color w:val="073B5C"/>
                <w:sz w:val="20"/>
              </w:rPr>
              <w:t>Domain note</w:t>
            </w:r>
          </w:p>
          <w:p>
            <w:pPr>
              <w:spacing w:after="0"/>
            </w:pPr>
            <w:r>
              <w:rPr>
                <w:rFonts w:ascii="Aptos" w:hAnsi="Aptos" w:eastAsia="Aptos"/>
                <w:color w:val="0E2D3E"/>
                <w:sz w:val="18"/>
              </w:rPr>
              <w:t>The production login path is on BlueAmmonia.com. The alternate bluammonia.com domain is the archived legacy plugin site and should not be used for new portal accounts.</w:t>
            </w:r>
          </w:p>
        </w:tc>
      </w:tr>
    </w:tbl>
    <w:p>
      <w:pPr>
        <w:spacing w:after="0"/>
      </w:pPr>
    </w:p>
    <w:p>
      <w:r>
        <w:br w:type="page"/>
      </w:r>
    </w:p>
    <w:p>
      <w:pPr>
        <w:pStyle w:val="Heading1"/>
        <w:spacing w:before="0"/>
      </w:pPr>
      <w:r>
        <w:rPr>
          <w:rFonts w:ascii="Aptos Display" w:hAnsi="Aptos Display" w:eastAsia="Aptos Display"/>
          <w:b/>
          <w:color w:val="073B5C"/>
          <w:sz w:val="36"/>
        </w:rPr>
        <w:t>3. Trial and Member Dashboard</w:t>
      </w:r>
    </w:p>
    <w:p>
      <w:pPr>
        <w:spacing w:after="20"/>
        <w:jc w:val="center"/>
      </w:pPr>
      <w:r>
        <w:drawing>
          <wp:inline xmlns:a="http://schemas.openxmlformats.org/drawingml/2006/main" xmlns:pic="http://schemas.openxmlformats.org/drawingml/2006/picture">
            <wp:extent cx="6217920" cy="3935392"/>
            <wp:docPr id="4" name="Picture 4"/>
            <wp:cNvGraphicFramePr>
              <a:graphicFrameLocks noChangeAspect="1"/>
            </wp:cNvGraphicFramePr>
            <a:graphic>
              <a:graphicData uri="http://schemas.openxmlformats.org/drawingml/2006/picture">
                <pic:pic>
                  <pic:nvPicPr>
                    <pic:cNvPr id="0" name="member_dashboard.jpg"/>
                    <pic:cNvPicPr/>
                  </pic:nvPicPr>
                  <pic:blipFill>
                    <a:blip r:embed="rId14"/>
                    <a:stretch>
                      <a:fillRect/>
                    </a:stretch>
                  </pic:blipFill>
                  <pic:spPr>
                    <a:xfrm>
                      <a:off x="0" y="0"/>
                      <a:ext cx="6217920" cy="3935392"/>
                    </a:xfrm>
                    <a:prstGeom prst="rect"/>
                  </pic:spPr>
                </pic:pic>
              </a:graphicData>
            </a:graphic>
          </wp:inline>
        </w:drawing>
      </w:r>
    </w:p>
    <w:p>
      <w:pPr>
        <w:pStyle w:val="FigureCaption"/>
        <w:jc w:val="center"/>
      </w:pPr>
      <w:r>
        <w:t>Seven-day trial dashboard with package, member identity, expiration and available capabilities.</w:t>
      </w:r>
    </w:p>
    <w:p>
      <w:r>
        <w:rPr>
          <w:rFonts w:ascii="Aptos" w:hAnsi="Aptos" w:eastAsia="Aptos"/>
        </w:rPr>
        <w:t>After trial creation or member login, the dashboard shows the account package and the current access state. Available areas depend on the capabilities assigned to the account.</w:t>
      </w:r>
    </w:p>
    <w:tbl>
      <w:tblPr>
        <w:tblStyle w:val="TableGrid"/>
        <w:tblW w:type="auto" w:w="0"/>
        <w:jc w:val="center"/>
        <w:tblLook w:firstColumn="1" w:firstRow="1" w:lastColumn="0" w:lastRow="0" w:noHBand="0" w:noVBand="1" w:val="04A0"/>
      </w:tblPr>
      <w:tblGrid>
        <w:gridCol w:w="5170"/>
        <w:gridCol w:w="5170"/>
      </w:tblGrid>
      <w:tr>
        <w:trPr>
          <w:tblHeader w:val="true"/>
        </w:trPr>
        <w:tc>
          <w:tcPr>
            <w:tcW w:type="dxa" w:w="2592"/>
            <w:shd w:fill="073B5C"/>
            <w:tcMar>
              <w:top w:w="90" w:type="dxa"/>
              <w:start w:w="100" w:type="dxa"/>
              <w:bottom w:w="90" w:type="dxa"/>
              <w:end w:w="100" w:type="dxa"/>
            </w:tcMar>
          </w:tcPr>
          <w:p>
            <w:pPr>
              <w:jc w:val="left"/>
            </w:pPr>
            <w:r>
              <w:rPr>
                <w:rFonts w:ascii="Aptos" w:hAnsi="Aptos" w:eastAsia="Aptos"/>
                <w:b/>
                <w:color w:val="FFFFFF"/>
                <w:sz w:val="18"/>
              </w:rPr>
              <w:t>Dashboard Element</w:t>
            </w:r>
          </w:p>
        </w:tc>
        <w:tc>
          <w:tcPr>
            <w:tcW w:type="dxa" w:w="7200"/>
            <w:shd w:fill="073B5C"/>
            <w:tcMar>
              <w:top w:w="90" w:type="dxa"/>
              <w:start w:w="100" w:type="dxa"/>
              <w:bottom w:w="90" w:type="dxa"/>
              <w:end w:w="100" w:type="dxa"/>
            </w:tcMar>
          </w:tcPr>
          <w:p>
            <w:pPr>
              <w:jc w:val="left"/>
            </w:pPr>
            <w:r>
              <w:rPr>
                <w:rFonts w:ascii="Aptos" w:hAnsi="Aptos" w:eastAsia="Aptos"/>
                <w:b/>
                <w:color w:val="FFFFFF"/>
                <w:sz w:val="18"/>
              </w:rPr>
              <w:t>Meaning</w:t>
            </w:r>
          </w:p>
        </w:tc>
      </w:tr>
      <w:tr>
        <w:tc>
          <w:tcPr>
            <w:tcW w:type="dxa" w:w="2592"/>
            <w:tcMar>
              <w:top w:w="75" w:type="dxa"/>
              <w:start w:w="90" w:type="dxa"/>
              <w:bottom w:w="75" w:type="dxa"/>
              <w:end w:w="90" w:type="dxa"/>
            </w:tcMar>
            <w:vAlign w:val="top"/>
          </w:tcPr>
          <w:p>
            <w:r>
              <w:rPr>
                <w:rFonts w:ascii="Aptos" w:hAnsi="Aptos" w:eastAsia="Aptos"/>
                <w:color w:val="0E2D3E"/>
                <w:sz w:val="17"/>
              </w:rPr>
              <w:t>Access Package</w:t>
            </w:r>
          </w:p>
        </w:tc>
        <w:tc>
          <w:tcPr>
            <w:tcW w:type="dxa" w:w="7200"/>
            <w:tcMar>
              <w:top w:w="75" w:type="dxa"/>
              <w:start w:w="90" w:type="dxa"/>
              <w:bottom w:w="75" w:type="dxa"/>
              <w:end w:w="90" w:type="dxa"/>
            </w:tcMar>
            <w:vAlign w:val="top"/>
          </w:tcPr>
          <w:p>
            <w:r>
              <w:rPr>
                <w:rFonts w:ascii="Aptos" w:hAnsi="Aptos" w:eastAsia="Aptos"/>
                <w:color w:val="0E2D3E"/>
                <w:sz w:val="17"/>
              </w:rPr>
              <w:t>Trial, subscriber, sponsor or other configured package.</w:t>
            </w:r>
          </w:p>
        </w:tc>
      </w:tr>
      <w:tr>
        <w:tc>
          <w:tcPr>
            <w:tcW w:type="dxa" w:w="2592"/>
            <w:tcMar>
              <w:top w:w="75" w:type="dxa"/>
              <w:start w:w="90" w:type="dxa"/>
              <w:bottom w:w="75" w:type="dxa"/>
              <w:end w:w="90" w:type="dxa"/>
            </w:tcMar>
            <w:shd w:fill="F4FAFC"/>
            <w:vAlign w:val="top"/>
          </w:tcPr>
          <w:p>
            <w:r>
              <w:rPr>
                <w:rFonts w:ascii="Aptos" w:hAnsi="Aptos" w:eastAsia="Aptos"/>
                <w:color w:val="0E2D3E"/>
                <w:sz w:val="17"/>
              </w:rPr>
              <w:t>Member Account</w:t>
            </w:r>
          </w:p>
        </w:tc>
        <w:tc>
          <w:tcPr>
            <w:tcW w:type="dxa" w:w="7200"/>
            <w:tcMar>
              <w:top w:w="75" w:type="dxa"/>
              <w:start w:w="90" w:type="dxa"/>
              <w:bottom w:w="75" w:type="dxa"/>
              <w:end w:w="90" w:type="dxa"/>
            </w:tcMar>
            <w:shd w:fill="F4FAFC"/>
            <w:vAlign w:val="top"/>
          </w:tcPr>
          <w:p>
            <w:r>
              <w:rPr>
                <w:rFonts w:ascii="Aptos" w:hAnsi="Aptos" w:eastAsia="Aptos"/>
                <w:color w:val="0E2D3E"/>
                <w:sz w:val="17"/>
              </w:rPr>
              <w:t>Member ID, username and associated email.</w:t>
            </w:r>
          </w:p>
        </w:tc>
      </w:tr>
      <w:tr>
        <w:tc>
          <w:tcPr>
            <w:tcW w:type="dxa" w:w="2592"/>
            <w:tcMar>
              <w:top w:w="75" w:type="dxa"/>
              <w:start w:w="90" w:type="dxa"/>
              <w:bottom w:w="75" w:type="dxa"/>
              <w:end w:w="90" w:type="dxa"/>
            </w:tcMar>
            <w:vAlign w:val="top"/>
          </w:tcPr>
          <w:p>
            <w:r>
              <w:rPr>
                <w:rFonts w:ascii="Aptos" w:hAnsi="Aptos" w:eastAsia="Aptos"/>
                <w:color w:val="0E2D3E"/>
                <w:sz w:val="17"/>
              </w:rPr>
              <w:t>Trial / Subscription Status</w:t>
            </w:r>
          </w:p>
        </w:tc>
        <w:tc>
          <w:tcPr>
            <w:tcW w:type="dxa" w:w="7200"/>
            <w:tcMar>
              <w:top w:w="75" w:type="dxa"/>
              <w:start w:w="90" w:type="dxa"/>
              <w:bottom w:w="75" w:type="dxa"/>
              <w:end w:w="90" w:type="dxa"/>
            </w:tcMar>
            <w:vAlign w:val="top"/>
          </w:tcPr>
          <w:p>
            <w:r>
              <w:rPr>
                <w:rFonts w:ascii="Aptos" w:hAnsi="Aptos" w:eastAsia="Aptos"/>
                <w:color w:val="0E2D3E"/>
                <w:sz w:val="17"/>
              </w:rPr>
              <w:t>Active, expired, cancelled or other configured state and expiration.</w:t>
            </w:r>
          </w:p>
        </w:tc>
      </w:tr>
      <w:tr>
        <w:tc>
          <w:tcPr>
            <w:tcW w:type="dxa" w:w="2592"/>
            <w:tcMar>
              <w:top w:w="75" w:type="dxa"/>
              <w:start w:w="90" w:type="dxa"/>
              <w:bottom w:w="75" w:type="dxa"/>
              <w:end w:w="90" w:type="dxa"/>
            </w:tcMar>
            <w:shd w:fill="F4FAFC"/>
            <w:vAlign w:val="top"/>
          </w:tcPr>
          <w:p>
            <w:r>
              <w:rPr>
                <w:rFonts w:ascii="Aptos" w:hAnsi="Aptos" w:eastAsia="Aptos"/>
                <w:color w:val="0E2D3E"/>
                <w:sz w:val="17"/>
              </w:rPr>
              <w:t>Available Member Areas</w:t>
            </w:r>
          </w:p>
        </w:tc>
        <w:tc>
          <w:tcPr>
            <w:tcW w:type="dxa" w:w="7200"/>
            <w:tcMar>
              <w:top w:w="75" w:type="dxa"/>
              <w:start w:w="90" w:type="dxa"/>
              <w:bottom w:w="75" w:type="dxa"/>
              <w:end w:w="90" w:type="dxa"/>
            </w:tcMar>
            <w:shd w:fill="F4FAFC"/>
            <w:vAlign w:val="top"/>
          </w:tcPr>
          <w:p>
            <w:r>
              <w:rPr>
                <w:rFonts w:ascii="Aptos" w:hAnsi="Aptos" w:eastAsia="Aptos"/>
                <w:color w:val="0E2D3E"/>
                <w:sz w:val="17"/>
              </w:rPr>
              <w:t>Clickable destinations permitted for the current package.</w:t>
            </w:r>
          </w:p>
        </w:tc>
      </w:tr>
      <w:tr>
        <w:tc>
          <w:tcPr>
            <w:tcW w:type="dxa" w:w="2592"/>
            <w:tcMar>
              <w:top w:w="75" w:type="dxa"/>
              <w:start w:w="90" w:type="dxa"/>
              <w:bottom w:w="75" w:type="dxa"/>
              <w:end w:w="90" w:type="dxa"/>
            </w:tcMar>
            <w:vAlign w:val="top"/>
          </w:tcPr>
          <w:p>
            <w:r>
              <w:rPr>
                <w:rFonts w:ascii="Aptos" w:hAnsi="Aptos" w:eastAsia="Aptos"/>
                <w:color w:val="0E2D3E"/>
                <w:sz w:val="17"/>
              </w:rPr>
              <w:t>Detected Access Capabilities</w:t>
            </w:r>
          </w:p>
        </w:tc>
        <w:tc>
          <w:tcPr>
            <w:tcW w:type="dxa" w:w="7200"/>
            <w:tcMar>
              <w:top w:w="75" w:type="dxa"/>
              <w:start w:w="90" w:type="dxa"/>
              <w:bottom w:w="75" w:type="dxa"/>
              <w:end w:w="90" w:type="dxa"/>
            </w:tcMar>
            <w:vAlign w:val="top"/>
          </w:tcPr>
          <w:p>
            <w:r>
              <w:rPr>
                <w:rFonts w:ascii="Aptos" w:hAnsi="Aptos" w:eastAsia="Aptos"/>
                <w:color w:val="0E2D3E"/>
                <w:sz w:val="17"/>
              </w:rPr>
              <w:t>Technical entitlements such as portal, subscriber, sector, premium, download and AI access.</w:t>
            </w:r>
          </w:p>
        </w:tc>
      </w:tr>
    </w:tbl>
    <w:p>
      <w:pPr>
        <w:spacing w:after="20"/>
      </w:pPr>
    </w:p>
    <w:p>
      <w:pPr>
        <w:pStyle w:val="ListBullet"/>
        <w:spacing w:after="40"/>
      </w:pPr>
      <w:r>
        <w:rPr>
          <w:rFonts w:ascii="Aptos" w:hAnsi="Aptos" w:eastAsia="Aptos"/>
          <w:sz w:val="18"/>
        </w:rPr>
        <w:t>Do not share browser-bound trial sessions across users.</w:t>
      </w:r>
    </w:p>
    <w:p>
      <w:pPr>
        <w:pStyle w:val="ListBullet"/>
        <w:spacing w:after="40"/>
      </w:pPr>
      <w:r>
        <w:rPr>
          <w:rFonts w:ascii="Aptos" w:hAnsi="Aptos" w:eastAsia="Aptos"/>
          <w:sz w:val="18"/>
        </w:rPr>
        <w:t>A trial may be limited, monitored and automatically expired.</w:t>
      </w:r>
    </w:p>
    <w:p>
      <w:pPr>
        <w:pStyle w:val="ListBullet"/>
        <w:spacing w:after="40"/>
      </w:pPr>
      <w:r>
        <w:rPr>
          <w:rFonts w:ascii="Aptos" w:hAnsi="Aptos" w:eastAsia="Aptos"/>
          <w:sz w:val="18"/>
        </w:rPr>
        <w:t>A paid package may require checkout completion or administrator assignment before all capabilities appear.</w:t>
      </w:r>
    </w:p>
    <w:p>
      <w:pPr>
        <w:pStyle w:val="ListBullet"/>
        <w:spacing w:after="40"/>
      </w:pPr>
      <w:r>
        <w:rPr>
          <w:rFonts w:ascii="Aptos" w:hAnsi="Aptos" w:eastAsia="Aptos"/>
          <w:sz w:val="18"/>
        </w:rPr>
        <w:t>Log out after testing another user's access to avoid mixing administrator override with subscriber behavior.</w:t>
      </w:r>
    </w:p>
    <w:p>
      <w:r>
        <w:br w:type="page"/>
      </w:r>
    </w:p>
    <w:p>
      <w:pPr>
        <w:pStyle w:val="Heading1"/>
        <w:spacing w:before="0"/>
      </w:pPr>
      <w:r>
        <w:rPr>
          <w:rFonts w:ascii="Aptos Display" w:hAnsi="Aptos Display" w:eastAsia="Aptos Display"/>
          <w:b/>
          <w:color w:val="073B5C"/>
          <w:sz w:val="36"/>
        </w:rPr>
        <w:t>4. Access Modes and Front-Door Behavior</w:t>
      </w:r>
    </w:p>
    <w:tbl>
      <w:tblPr>
        <w:tblStyle w:val="TableGrid"/>
        <w:tblW w:type="auto" w:w="0"/>
        <w:jc w:val="center"/>
        <w:tblLook w:firstColumn="1" w:firstRow="1" w:lastColumn="0" w:lastRow="0" w:noHBand="0" w:noVBand="1" w:val="04A0"/>
      </w:tblPr>
      <w:tblGrid>
        <w:gridCol w:w="2585"/>
        <w:gridCol w:w="2585"/>
        <w:gridCol w:w="2585"/>
        <w:gridCol w:w="2585"/>
      </w:tblGrid>
      <w:tr>
        <w:trPr>
          <w:tblHeader w:val="true"/>
        </w:trPr>
        <w:tc>
          <w:tcPr>
            <w:tcW w:type="dxa" w:w="1656"/>
            <w:shd w:fill="073B5C"/>
            <w:tcMar>
              <w:top w:w="90" w:type="dxa"/>
              <w:start w:w="100" w:type="dxa"/>
              <w:bottom w:w="90" w:type="dxa"/>
              <w:end w:w="100" w:type="dxa"/>
            </w:tcMar>
          </w:tcPr>
          <w:p>
            <w:pPr>
              <w:jc w:val="left"/>
            </w:pPr>
            <w:r>
              <w:rPr>
                <w:rFonts w:ascii="Aptos" w:hAnsi="Aptos" w:eastAsia="Aptos"/>
                <w:b/>
                <w:color w:val="FFFFFF"/>
                <w:sz w:val="18"/>
              </w:rPr>
              <w:t>Mode</w:t>
            </w:r>
          </w:p>
        </w:tc>
        <w:tc>
          <w:tcPr>
            <w:tcW w:type="dxa" w:w="3312"/>
            <w:shd w:fill="073B5C"/>
            <w:tcMar>
              <w:top w:w="90" w:type="dxa"/>
              <w:start w:w="100" w:type="dxa"/>
              <w:bottom w:w="90" w:type="dxa"/>
              <w:end w:w="100" w:type="dxa"/>
            </w:tcMar>
          </w:tcPr>
          <w:p>
            <w:pPr>
              <w:jc w:val="left"/>
            </w:pPr>
            <w:r>
              <w:rPr>
                <w:rFonts w:ascii="Aptos" w:hAnsi="Aptos" w:eastAsia="Aptos"/>
                <w:b/>
                <w:color w:val="FFFFFF"/>
                <w:sz w:val="18"/>
              </w:rPr>
              <w:t>Anonymous Visitor</w:t>
            </w:r>
          </w:p>
        </w:tc>
        <w:tc>
          <w:tcPr>
            <w:tcW w:type="dxa" w:w="3312"/>
            <w:shd w:fill="073B5C"/>
            <w:tcMar>
              <w:top w:w="90" w:type="dxa"/>
              <w:start w:w="100" w:type="dxa"/>
              <w:bottom w:w="90" w:type="dxa"/>
              <w:end w:w="100" w:type="dxa"/>
            </w:tcMar>
          </w:tcPr>
          <w:p>
            <w:pPr>
              <w:jc w:val="left"/>
            </w:pPr>
            <w:r>
              <w:rPr>
                <w:rFonts w:ascii="Aptos" w:hAnsi="Aptos" w:eastAsia="Aptos"/>
                <w:b/>
                <w:color w:val="FFFFFF"/>
                <w:sz w:val="18"/>
              </w:rPr>
              <w:t>Authenticated Member</w:t>
            </w:r>
          </w:p>
        </w:tc>
        <w:tc>
          <w:tcPr>
            <w:tcW w:type="dxa" w:w="2232"/>
            <w:shd w:fill="073B5C"/>
            <w:tcMar>
              <w:top w:w="90" w:type="dxa"/>
              <w:start w:w="100" w:type="dxa"/>
              <w:bottom w:w="90" w:type="dxa"/>
              <w:end w:w="100" w:type="dxa"/>
            </w:tcMar>
          </w:tcPr>
          <w:p>
            <w:pPr>
              <w:jc w:val="left"/>
            </w:pPr>
            <w:r>
              <w:rPr>
                <w:rFonts w:ascii="Aptos" w:hAnsi="Aptos" w:eastAsia="Aptos"/>
                <w:b/>
                <w:color w:val="FFFFFF"/>
                <w:sz w:val="18"/>
              </w:rPr>
              <w:t>Administrator</w:t>
            </w:r>
          </w:p>
        </w:tc>
      </w:tr>
      <w:tr>
        <w:tc>
          <w:tcPr>
            <w:tcW w:type="dxa" w:w="1656"/>
            <w:tcMar>
              <w:top w:w="75" w:type="dxa"/>
              <w:start w:w="90" w:type="dxa"/>
              <w:bottom w:w="75" w:type="dxa"/>
              <w:end w:w="90" w:type="dxa"/>
            </w:tcMar>
            <w:vAlign w:val="top"/>
          </w:tcPr>
          <w:p>
            <w:r>
              <w:rPr>
                <w:rFonts w:ascii="Aptos" w:hAnsi="Aptos" w:eastAsia="Aptos"/>
                <w:color w:val="0E2D3E"/>
                <w:sz w:val="16"/>
              </w:rPr>
              <w:t>Open</w:t>
            </w:r>
          </w:p>
        </w:tc>
        <w:tc>
          <w:tcPr>
            <w:tcW w:type="dxa" w:w="3312"/>
            <w:tcMar>
              <w:top w:w="75" w:type="dxa"/>
              <w:start w:w="90" w:type="dxa"/>
              <w:bottom w:w="75" w:type="dxa"/>
              <w:end w:w="90" w:type="dxa"/>
            </w:tcMar>
            <w:vAlign w:val="top"/>
          </w:tcPr>
          <w:p>
            <w:r>
              <w:rPr>
                <w:rFonts w:ascii="Aptos" w:hAnsi="Aptos" w:eastAsia="Aptos"/>
                <w:color w:val="0E2D3E"/>
                <w:sz w:val="16"/>
              </w:rPr>
              <w:t>Public pages and configured public functions remain visible.</w:t>
            </w:r>
          </w:p>
        </w:tc>
        <w:tc>
          <w:tcPr>
            <w:tcW w:type="dxa" w:w="3312"/>
            <w:tcMar>
              <w:top w:w="75" w:type="dxa"/>
              <w:start w:w="90" w:type="dxa"/>
              <w:bottom w:w="75" w:type="dxa"/>
              <w:end w:w="90" w:type="dxa"/>
            </w:tcMar>
            <w:vAlign w:val="top"/>
          </w:tcPr>
          <w:p>
            <w:r>
              <w:rPr>
                <w:rFonts w:ascii="Aptos" w:hAnsi="Aptos" w:eastAsia="Aptos"/>
                <w:color w:val="0E2D3E"/>
                <w:sz w:val="16"/>
              </w:rPr>
              <w:t>Member areas depend on capabilities.</w:t>
            </w:r>
          </w:p>
        </w:tc>
        <w:tc>
          <w:tcPr>
            <w:tcW w:type="dxa" w:w="2232"/>
            <w:tcMar>
              <w:top w:w="75" w:type="dxa"/>
              <w:start w:w="90" w:type="dxa"/>
              <w:bottom w:w="75" w:type="dxa"/>
              <w:end w:w="90" w:type="dxa"/>
            </w:tcMar>
            <w:vAlign w:val="top"/>
          </w:tcPr>
          <w:p>
            <w:r>
              <w:rPr>
                <w:rFonts w:ascii="Aptos" w:hAnsi="Aptos" w:eastAsia="Aptos"/>
                <w:color w:val="0E2D3E"/>
                <w:sz w:val="16"/>
              </w:rPr>
              <w:t>Administrator override and controls remain available.</w:t>
            </w:r>
          </w:p>
        </w:tc>
      </w:tr>
      <w:tr>
        <w:tc>
          <w:tcPr>
            <w:tcW w:type="dxa" w:w="1656"/>
            <w:tcMar>
              <w:top w:w="75" w:type="dxa"/>
              <w:start w:w="90" w:type="dxa"/>
              <w:bottom w:w="75" w:type="dxa"/>
              <w:end w:w="90" w:type="dxa"/>
            </w:tcMar>
            <w:shd w:fill="F4FAFC"/>
            <w:vAlign w:val="top"/>
          </w:tcPr>
          <w:p>
            <w:r>
              <w:rPr>
                <w:rFonts w:ascii="Aptos" w:hAnsi="Aptos" w:eastAsia="Aptos"/>
                <w:color w:val="0E2D3E"/>
                <w:sz w:val="16"/>
              </w:rPr>
              <w:t>Restricted</w:t>
            </w:r>
          </w:p>
        </w:tc>
        <w:tc>
          <w:tcPr>
            <w:tcW w:type="dxa" w:w="3312"/>
            <w:tcMar>
              <w:top w:w="75" w:type="dxa"/>
              <w:start w:w="90" w:type="dxa"/>
              <w:bottom w:w="75" w:type="dxa"/>
              <w:end w:w="90" w:type="dxa"/>
            </w:tcMar>
            <w:shd w:fill="F4FAFC"/>
            <w:vAlign w:val="top"/>
          </w:tcPr>
          <w:p>
            <w:r>
              <w:rPr>
                <w:rFonts w:ascii="Aptos" w:hAnsi="Aptos" w:eastAsia="Aptos"/>
                <w:color w:val="0E2D3E"/>
                <w:sz w:val="16"/>
              </w:rPr>
              <w:t>Public homepage and approved public routes remain visible; premium components are gated.</w:t>
            </w:r>
          </w:p>
        </w:tc>
        <w:tc>
          <w:tcPr>
            <w:tcW w:type="dxa" w:w="3312"/>
            <w:tcMar>
              <w:top w:w="75" w:type="dxa"/>
              <w:start w:w="90" w:type="dxa"/>
              <w:bottom w:w="75" w:type="dxa"/>
              <w:end w:w="90" w:type="dxa"/>
            </w:tcMar>
            <w:shd w:fill="F4FAFC"/>
            <w:vAlign w:val="top"/>
          </w:tcPr>
          <w:p>
            <w:r>
              <w:rPr>
                <w:rFonts w:ascii="Aptos" w:hAnsi="Aptos" w:eastAsia="Aptos"/>
                <w:color w:val="0E2D3E"/>
                <w:sz w:val="16"/>
              </w:rPr>
              <w:t>Subscriber capabilities unlock protected areas.</w:t>
            </w:r>
          </w:p>
        </w:tc>
        <w:tc>
          <w:tcPr>
            <w:tcW w:type="dxa" w:w="2232"/>
            <w:tcMar>
              <w:top w:w="75" w:type="dxa"/>
              <w:start w:w="90" w:type="dxa"/>
              <w:bottom w:w="75" w:type="dxa"/>
              <w:end w:w="90" w:type="dxa"/>
            </w:tcMar>
            <w:shd w:fill="F4FAFC"/>
            <w:vAlign w:val="top"/>
          </w:tcPr>
          <w:p>
            <w:r>
              <w:rPr>
                <w:rFonts w:ascii="Aptos" w:hAnsi="Aptos" w:eastAsia="Aptos"/>
                <w:color w:val="0E2D3E"/>
                <w:sz w:val="16"/>
              </w:rPr>
              <w:t>Administrator override supports testing.</w:t>
            </w:r>
          </w:p>
        </w:tc>
      </w:tr>
      <w:tr>
        <w:tc>
          <w:tcPr>
            <w:tcW w:type="dxa" w:w="1656"/>
            <w:tcMar>
              <w:top w:w="75" w:type="dxa"/>
              <w:start w:w="90" w:type="dxa"/>
              <w:bottom w:w="75" w:type="dxa"/>
              <w:end w:w="90" w:type="dxa"/>
            </w:tcMar>
            <w:vAlign w:val="top"/>
          </w:tcPr>
          <w:p>
            <w:r>
              <w:rPr>
                <w:rFonts w:ascii="Aptos" w:hAnsi="Aptos" w:eastAsia="Aptos"/>
                <w:color w:val="0E2D3E"/>
                <w:sz w:val="16"/>
              </w:rPr>
              <w:t>Front Door ON</w:t>
            </w:r>
          </w:p>
        </w:tc>
        <w:tc>
          <w:tcPr>
            <w:tcW w:type="dxa" w:w="3312"/>
            <w:tcMar>
              <w:top w:w="75" w:type="dxa"/>
              <w:start w:w="90" w:type="dxa"/>
              <w:bottom w:w="75" w:type="dxa"/>
              <w:end w:w="90" w:type="dxa"/>
            </w:tcMar>
            <w:vAlign w:val="top"/>
          </w:tcPr>
          <w:p>
            <w:r>
              <w:rPr>
                <w:rFonts w:ascii="Aptos" w:hAnsi="Aptos" w:eastAsia="Aptos"/>
                <w:color w:val="0E2D3E"/>
                <w:sz w:val="16"/>
              </w:rPr>
              <w:t>Anonymous visitors see the acquisition/access page first.</w:t>
            </w:r>
          </w:p>
        </w:tc>
        <w:tc>
          <w:tcPr>
            <w:tcW w:type="dxa" w:w="3312"/>
            <w:tcMar>
              <w:top w:w="75" w:type="dxa"/>
              <w:start w:w="90" w:type="dxa"/>
              <w:bottom w:w="75" w:type="dxa"/>
              <w:end w:w="90" w:type="dxa"/>
            </w:tcMar>
            <w:vAlign w:val="top"/>
          </w:tcPr>
          <w:p>
            <w:r>
              <w:rPr>
                <w:rFonts w:ascii="Aptos" w:hAnsi="Aptos" w:eastAsia="Aptos"/>
                <w:color w:val="0E2D3E"/>
                <w:sz w:val="16"/>
              </w:rPr>
              <w:t>Logged-in users may continue to the portal.</w:t>
            </w:r>
          </w:p>
        </w:tc>
        <w:tc>
          <w:tcPr>
            <w:tcW w:type="dxa" w:w="2232"/>
            <w:tcMar>
              <w:top w:w="75" w:type="dxa"/>
              <w:start w:w="90" w:type="dxa"/>
              <w:bottom w:w="75" w:type="dxa"/>
              <w:end w:w="90" w:type="dxa"/>
            </w:tcMar>
            <w:vAlign w:val="top"/>
          </w:tcPr>
          <w:p>
            <w:r>
              <w:rPr>
                <w:rFonts w:ascii="Aptos" w:hAnsi="Aptos" w:eastAsia="Aptos"/>
                <w:color w:val="0E2D3E"/>
                <w:sz w:val="16"/>
              </w:rPr>
              <w:t>Operator can preview, configure or disable it.</w:t>
            </w:r>
          </w:p>
        </w:tc>
      </w:tr>
      <w:tr>
        <w:tc>
          <w:tcPr>
            <w:tcW w:type="dxa" w:w="1656"/>
            <w:tcMar>
              <w:top w:w="75" w:type="dxa"/>
              <w:start w:w="90" w:type="dxa"/>
              <w:bottom w:w="75" w:type="dxa"/>
              <w:end w:w="90" w:type="dxa"/>
            </w:tcMar>
            <w:shd w:fill="F4FAFC"/>
            <w:vAlign w:val="top"/>
          </w:tcPr>
          <w:p>
            <w:r>
              <w:rPr>
                <w:rFonts w:ascii="Aptos" w:hAnsi="Aptos" w:eastAsia="Aptos"/>
                <w:color w:val="0E2D3E"/>
                <w:sz w:val="16"/>
              </w:rPr>
              <w:t>Continuity Mode</w:t>
            </w:r>
          </w:p>
        </w:tc>
        <w:tc>
          <w:tcPr>
            <w:tcW w:type="dxa" w:w="3312"/>
            <w:tcMar>
              <w:top w:w="75" w:type="dxa"/>
              <w:start w:w="90" w:type="dxa"/>
              <w:bottom w:w="75" w:type="dxa"/>
              <w:end w:w="90" w:type="dxa"/>
            </w:tcMar>
            <w:shd w:fill="F4FAFC"/>
            <w:vAlign w:val="top"/>
          </w:tcPr>
          <w:p>
            <w:r>
              <w:rPr>
                <w:rFonts w:ascii="Aptos" w:hAnsi="Aptos" w:eastAsia="Aptos"/>
                <w:color w:val="0E2D3E"/>
                <w:sz w:val="16"/>
              </w:rPr>
              <w:t>Last synchronized read-only snapshot is shown when Engine connectivity is unavailable.</w:t>
            </w:r>
          </w:p>
        </w:tc>
        <w:tc>
          <w:tcPr>
            <w:tcW w:type="dxa" w:w="3312"/>
            <w:tcMar>
              <w:top w:w="75" w:type="dxa"/>
              <w:start w:w="90" w:type="dxa"/>
              <w:bottom w:w="75" w:type="dxa"/>
              <w:end w:w="90" w:type="dxa"/>
            </w:tcMar>
            <w:shd w:fill="F4FAFC"/>
            <w:vAlign w:val="top"/>
          </w:tcPr>
          <w:p>
            <w:r>
              <w:rPr>
                <w:rFonts w:ascii="Aptos" w:hAnsi="Aptos" w:eastAsia="Aptos"/>
                <w:color w:val="0E2D3E"/>
                <w:sz w:val="16"/>
              </w:rPr>
              <w:t>Live agents/forms/refreshes may be unavailable.</w:t>
            </w:r>
          </w:p>
        </w:tc>
        <w:tc>
          <w:tcPr>
            <w:tcW w:type="dxa" w:w="2232"/>
            <w:tcMar>
              <w:top w:w="75" w:type="dxa"/>
              <w:start w:w="90" w:type="dxa"/>
              <w:bottom w:w="75" w:type="dxa"/>
              <w:end w:w="90" w:type="dxa"/>
            </w:tcMar>
            <w:shd w:fill="F4FAFC"/>
            <w:vAlign w:val="top"/>
          </w:tcPr>
          <w:p>
            <w:r>
              <w:rPr>
                <w:rFonts w:ascii="Aptos" w:hAnsi="Aptos" w:eastAsia="Aptos"/>
                <w:color w:val="0E2D3E"/>
                <w:sz w:val="16"/>
              </w:rPr>
              <w:t>Operator should restore Engine/tunnel connectivity and resynchronize.</w:t>
            </w:r>
          </w:p>
        </w:tc>
      </w:tr>
    </w:tbl>
    <w:p>
      <w:pPr>
        <w:spacing w:after="20"/>
      </w:pPr>
    </w:p>
    <w:tbl>
      <w:tblPr>
        <w:tblW w:type="auto" w:w="0"/>
        <w:jc w:val="center"/>
        <w:tblLayout w:type="autofit"/>
        <w:tblLook w:firstColumn="1" w:firstRow="1" w:lastColumn="0" w:lastRow="0" w:noHBand="0" w:noVBand="1" w:val="04A0"/>
      </w:tblPr>
      <w:tblGrid>
        <w:gridCol w:w="10340"/>
      </w:tblGrid>
      <w:tr>
        <w:trPr>
          <w:cantSplit/>
        </w:trPr>
        <w:tc>
          <w:tcPr>
            <w:tcW w:type="dxa" w:w="10340"/>
            <w:shd w:fill="EAF7FB"/>
            <w:tcBorders>
              <w:top w:val="single" w:sz="2" w:color="EAF7FB"/>
              <w:left w:val="single" w:sz="18" w:color="00A6C8"/>
              <w:bottom w:val="single" w:sz="2" w:color="EAF7FB"/>
              <w:right w:val="single" w:sz="2" w:color="EAF7FB"/>
            </w:tcBorders>
            <w:tcMar>
              <w:top w:w="120" w:type="dxa"/>
              <w:start w:w="160" w:type="dxa"/>
              <w:bottom w:w="120" w:type="dxa"/>
              <w:end w:w="160" w:type="dxa"/>
            </w:tcMar>
          </w:tcPr>
          <w:p>
            <w:r>
              <w:rPr>
                <w:rFonts w:ascii="Aptos" w:hAnsi="Aptos" w:eastAsia="Aptos"/>
                <w:b/>
                <w:color w:val="073B5C"/>
                <w:sz w:val="20"/>
              </w:rPr>
              <w:t>Component-level gating</w:t>
            </w:r>
          </w:p>
          <w:p>
            <w:pPr>
              <w:spacing w:after="0"/>
            </w:pPr>
            <w:r>
              <w:rPr>
                <w:rFonts w:ascii="Aptos" w:hAnsi="Aptos" w:eastAsia="Aptos"/>
                <w:color w:val="0E2D3E"/>
                <w:sz w:val="18"/>
              </w:rPr>
              <w:t>Restricted mode should not erase the public homepage. The system hides or blocks protected components and actions while preserving intentionally public pages.</w:t>
            </w:r>
          </w:p>
        </w:tc>
      </w:tr>
    </w:tbl>
    <w:p>
      <w:pPr>
        <w:spacing w:after="0"/>
      </w:pPr>
    </w:p>
    <w:p>
      <w:r>
        <w:rPr>
          <w:rFonts w:ascii="Aptos" w:hAnsi="Aptos" w:eastAsia="Aptos"/>
        </w:rPr>
        <w:t>For anonymous testing, use an InPrivate/incognito window or a separate browser profile. Administrator sessions display an override banner and are not a reliable test of public behavior.</w:t>
      </w:r>
    </w:p>
    <w:p>
      <w:r>
        <w:br w:type="page"/>
      </w:r>
    </w:p>
    <w:p>
      <w:pPr>
        <w:pStyle w:val="Heading1"/>
        <w:spacing w:before="0"/>
      </w:pPr>
      <w:r>
        <w:rPr>
          <w:rFonts w:ascii="Aptos Display" w:hAnsi="Aptos Display" w:eastAsia="Aptos Display"/>
          <w:b/>
          <w:color w:val="073B5C"/>
          <w:sz w:val="36"/>
        </w:rPr>
        <w:t>5. Homepage Navigation</w:t>
      </w:r>
    </w:p>
    <w:p>
      <w:pPr>
        <w:spacing w:after="20"/>
        <w:jc w:val="center"/>
      </w:pPr>
      <w:r>
        <w:drawing>
          <wp:inline xmlns:a="http://schemas.openxmlformats.org/drawingml/2006/main" xmlns:pic="http://schemas.openxmlformats.org/drawingml/2006/picture">
            <wp:extent cx="6263640" cy="4221576"/>
            <wp:docPr id="5" name="Picture 5"/>
            <wp:cNvGraphicFramePr>
              <a:graphicFrameLocks noChangeAspect="1"/>
            </wp:cNvGraphicFramePr>
            <a:graphic>
              <a:graphicData uri="http://schemas.openxmlformats.org/drawingml/2006/picture">
                <pic:pic>
                  <pic:nvPicPr>
                    <pic:cNvPr id="0" name="homepage_live.jpg"/>
                    <pic:cNvPicPr/>
                  </pic:nvPicPr>
                  <pic:blipFill>
                    <a:blip r:embed="rId11"/>
                    <a:stretch>
                      <a:fillRect/>
                    </a:stretch>
                  </pic:blipFill>
                  <pic:spPr>
                    <a:xfrm>
                      <a:off x="0" y="0"/>
                      <a:ext cx="6263640" cy="4221576"/>
                    </a:xfrm>
                    <a:prstGeom prst="rect"/>
                  </pic:spPr>
                </pic:pic>
              </a:graphicData>
            </a:graphic>
          </wp:inline>
        </w:drawing>
      </w:r>
    </w:p>
    <w:p>
      <w:pPr>
        <w:pStyle w:val="FigureCaption"/>
        <w:jc w:val="center"/>
      </w:pPr>
      <w:r>
        <w:t>Live production homepage and primary navigation.</w:t>
      </w:r>
    </w:p>
    <w:tbl>
      <w:tblPr>
        <w:tblStyle w:val="TableGrid"/>
        <w:tblW w:type="auto" w:w="0"/>
        <w:jc w:val="center"/>
        <w:tblLook w:firstColumn="1" w:firstRow="1" w:lastColumn="0" w:lastRow="0" w:noHBand="0" w:noVBand="1" w:val="04A0"/>
      </w:tblPr>
      <w:tblGrid>
        <w:gridCol w:w="5170"/>
        <w:gridCol w:w="5170"/>
      </w:tblGrid>
      <w:tr>
        <w:trPr>
          <w:tblHeader w:val="true"/>
        </w:trPr>
        <w:tc>
          <w:tcPr>
            <w:tcW w:type="dxa" w:w="2880"/>
            <w:shd w:fill="073B5C"/>
            <w:tcMar>
              <w:top w:w="90" w:type="dxa"/>
              <w:start w:w="100" w:type="dxa"/>
              <w:bottom w:w="90" w:type="dxa"/>
              <w:end w:w="100" w:type="dxa"/>
            </w:tcMar>
          </w:tcPr>
          <w:p>
            <w:pPr>
              <w:jc w:val="left"/>
            </w:pPr>
            <w:r>
              <w:rPr>
                <w:rFonts w:ascii="Aptos" w:hAnsi="Aptos" w:eastAsia="Aptos"/>
                <w:b/>
                <w:color w:val="FFFFFF"/>
                <w:sz w:val="18"/>
              </w:rPr>
              <w:t>Navigation Item</w:t>
            </w:r>
          </w:p>
        </w:tc>
        <w:tc>
          <w:tcPr>
            <w:tcW w:type="dxa" w:w="6912"/>
            <w:shd w:fill="073B5C"/>
            <w:tcMar>
              <w:top w:w="90" w:type="dxa"/>
              <w:start w:w="100" w:type="dxa"/>
              <w:bottom w:w="90" w:type="dxa"/>
              <w:end w:w="100" w:type="dxa"/>
            </w:tcMar>
          </w:tcPr>
          <w:p>
            <w:pPr>
              <w:jc w:val="left"/>
            </w:pPr>
            <w:r>
              <w:rPr>
                <w:rFonts w:ascii="Aptos" w:hAnsi="Aptos" w:eastAsia="Aptos"/>
                <w:b/>
                <w:color w:val="FFFFFF"/>
                <w:sz w:val="18"/>
              </w:rPr>
              <w:t>Purpose</w:t>
            </w:r>
          </w:p>
        </w:tc>
      </w:tr>
      <w:tr>
        <w:tc>
          <w:tcPr>
            <w:tcW w:type="dxa" w:w="2880"/>
            <w:tcMar>
              <w:top w:w="75" w:type="dxa"/>
              <w:start w:w="90" w:type="dxa"/>
              <w:bottom w:w="75" w:type="dxa"/>
              <w:end w:w="90" w:type="dxa"/>
            </w:tcMar>
            <w:vAlign w:val="top"/>
          </w:tcPr>
          <w:p>
            <w:r>
              <w:rPr>
                <w:rFonts w:ascii="Aptos" w:hAnsi="Aptos" w:eastAsia="Aptos"/>
                <w:color w:val="0E2D3E"/>
                <w:sz w:val="16"/>
              </w:rPr>
              <w:t>Home</w:t>
            </w:r>
          </w:p>
        </w:tc>
        <w:tc>
          <w:tcPr>
            <w:tcW w:type="dxa" w:w="6912"/>
            <w:tcMar>
              <w:top w:w="75" w:type="dxa"/>
              <w:start w:w="90" w:type="dxa"/>
              <w:bottom w:w="75" w:type="dxa"/>
              <w:end w:w="90" w:type="dxa"/>
            </w:tcMar>
            <w:vAlign w:val="top"/>
          </w:tcPr>
          <w:p>
            <w:r>
              <w:rPr>
                <w:rFonts w:ascii="Aptos" w:hAnsi="Aptos" w:eastAsia="Aptos"/>
                <w:color w:val="0E2D3E"/>
                <w:sz w:val="16"/>
              </w:rPr>
              <w:t>Return to the main platform entry point.</w:t>
            </w:r>
          </w:p>
        </w:tc>
      </w:tr>
      <w:tr>
        <w:tc>
          <w:tcPr>
            <w:tcW w:type="dxa" w:w="2880"/>
            <w:tcMar>
              <w:top w:w="75" w:type="dxa"/>
              <w:start w:w="90" w:type="dxa"/>
              <w:bottom w:w="75" w:type="dxa"/>
              <w:end w:w="90" w:type="dxa"/>
            </w:tcMar>
            <w:shd w:fill="F4FAFC"/>
            <w:vAlign w:val="top"/>
          </w:tcPr>
          <w:p>
            <w:r>
              <w:rPr>
                <w:rFonts w:ascii="Aptos" w:hAnsi="Aptos" w:eastAsia="Aptos"/>
                <w:color w:val="0E2D3E"/>
                <w:sz w:val="16"/>
              </w:rPr>
              <w:t>Suppliers / Buyers</w:t>
            </w:r>
          </w:p>
        </w:tc>
        <w:tc>
          <w:tcPr>
            <w:tcW w:type="dxa" w:w="6912"/>
            <w:tcMar>
              <w:top w:w="75" w:type="dxa"/>
              <w:start w:w="90" w:type="dxa"/>
              <w:bottom w:w="75" w:type="dxa"/>
              <w:end w:w="90" w:type="dxa"/>
            </w:tcMar>
            <w:shd w:fill="F4FAFC"/>
            <w:vAlign w:val="top"/>
          </w:tcPr>
          <w:p>
            <w:r>
              <w:rPr>
                <w:rFonts w:ascii="Aptos" w:hAnsi="Aptos" w:eastAsia="Aptos"/>
                <w:color w:val="0E2D3E"/>
                <w:sz w:val="16"/>
              </w:rPr>
              <w:t>Open separate company-side directory pathways.</w:t>
            </w:r>
          </w:p>
        </w:tc>
      </w:tr>
      <w:tr>
        <w:tc>
          <w:tcPr>
            <w:tcW w:type="dxa" w:w="2880"/>
            <w:tcMar>
              <w:top w:w="75" w:type="dxa"/>
              <w:start w:w="90" w:type="dxa"/>
              <w:bottom w:w="75" w:type="dxa"/>
              <w:end w:w="90" w:type="dxa"/>
            </w:tcMar>
            <w:vAlign w:val="top"/>
          </w:tcPr>
          <w:p>
            <w:r>
              <w:rPr>
                <w:rFonts w:ascii="Aptos" w:hAnsi="Aptos" w:eastAsia="Aptos"/>
                <w:color w:val="0E2D3E"/>
                <w:sz w:val="16"/>
              </w:rPr>
              <w:t>Projects</w:t>
            </w:r>
          </w:p>
        </w:tc>
        <w:tc>
          <w:tcPr>
            <w:tcW w:type="dxa" w:w="6912"/>
            <w:tcMar>
              <w:top w:w="75" w:type="dxa"/>
              <w:start w:w="90" w:type="dxa"/>
              <w:bottom w:w="75" w:type="dxa"/>
              <w:end w:w="90" w:type="dxa"/>
            </w:tcMar>
            <w:vAlign w:val="top"/>
          </w:tcPr>
          <w:p>
            <w:r>
              <w:rPr>
                <w:rFonts w:ascii="Aptos" w:hAnsi="Aptos" w:eastAsia="Aptos"/>
                <w:color w:val="0E2D3E"/>
                <w:sz w:val="16"/>
              </w:rPr>
              <w:t>Review project records and related commercial context.</w:t>
            </w:r>
          </w:p>
        </w:tc>
      </w:tr>
      <w:tr>
        <w:tc>
          <w:tcPr>
            <w:tcW w:type="dxa" w:w="2880"/>
            <w:tcMar>
              <w:top w:w="75" w:type="dxa"/>
              <w:start w:w="90" w:type="dxa"/>
              <w:bottom w:w="75" w:type="dxa"/>
              <w:end w:w="90" w:type="dxa"/>
            </w:tcMar>
            <w:shd w:fill="F4FAFC"/>
            <w:vAlign w:val="top"/>
          </w:tcPr>
          <w:p>
            <w:r>
              <w:rPr>
                <w:rFonts w:ascii="Aptos" w:hAnsi="Aptos" w:eastAsia="Aptos"/>
                <w:color w:val="0E2D3E"/>
                <w:sz w:val="16"/>
              </w:rPr>
              <w:t>Publications</w:t>
            </w:r>
          </w:p>
        </w:tc>
        <w:tc>
          <w:tcPr>
            <w:tcW w:type="dxa" w:w="6912"/>
            <w:tcMar>
              <w:top w:w="75" w:type="dxa"/>
              <w:start w:w="90" w:type="dxa"/>
              <w:bottom w:w="75" w:type="dxa"/>
              <w:end w:w="90" w:type="dxa"/>
            </w:tcMar>
            <w:shd w:fill="F4FAFC"/>
            <w:vAlign w:val="top"/>
          </w:tcPr>
          <w:p>
            <w:r>
              <w:rPr>
                <w:rFonts w:ascii="Aptos" w:hAnsi="Aptos" w:eastAsia="Aptos"/>
                <w:color w:val="0E2D3E"/>
                <w:sz w:val="16"/>
              </w:rPr>
              <w:t>Open reports, articles, guides and document resources.</w:t>
            </w:r>
          </w:p>
        </w:tc>
      </w:tr>
      <w:tr>
        <w:tc>
          <w:tcPr>
            <w:tcW w:type="dxa" w:w="2880"/>
            <w:tcMar>
              <w:top w:w="75" w:type="dxa"/>
              <w:start w:w="90" w:type="dxa"/>
              <w:bottom w:w="75" w:type="dxa"/>
              <w:end w:w="90" w:type="dxa"/>
            </w:tcMar>
            <w:vAlign w:val="top"/>
          </w:tcPr>
          <w:p>
            <w:r>
              <w:rPr>
                <w:rFonts w:ascii="Aptos" w:hAnsi="Aptos" w:eastAsia="Aptos"/>
                <w:color w:val="0E2D3E"/>
                <w:sz w:val="16"/>
              </w:rPr>
              <w:t>Intelligence / Dashboard / Newsletter</w:t>
            </w:r>
          </w:p>
        </w:tc>
        <w:tc>
          <w:tcPr>
            <w:tcW w:type="dxa" w:w="6912"/>
            <w:tcMar>
              <w:top w:w="75" w:type="dxa"/>
              <w:start w:w="90" w:type="dxa"/>
              <w:bottom w:w="75" w:type="dxa"/>
              <w:end w:w="90" w:type="dxa"/>
            </w:tcMar>
            <w:vAlign w:val="top"/>
          </w:tcPr>
          <w:p>
            <w:r>
              <w:rPr>
                <w:rFonts w:ascii="Aptos" w:hAnsi="Aptos" w:eastAsia="Aptos"/>
                <w:color w:val="0E2D3E"/>
                <w:sz w:val="16"/>
              </w:rPr>
              <w:t>Open intelligence routing, dashboards and publication workflows.</w:t>
            </w:r>
          </w:p>
        </w:tc>
      </w:tr>
      <w:tr>
        <w:tc>
          <w:tcPr>
            <w:tcW w:type="dxa" w:w="2880"/>
            <w:tcMar>
              <w:top w:w="75" w:type="dxa"/>
              <w:start w:w="90" w:type="dxa"/>
              <w:bottom w:w="75" w:type="dxa"/>
              <w:end w:w="90" w:type="dxa"/>
            </w:tcMar>
            <w:shd w:fill="F4FAFC"/>
            <w:vAlign w:val="top"/>
          </w:tcPr>
          <w:p>
            <w:r>
              <w:rPr>
                <w:rFonts w:ascii="Aptos" w:hAnsi="Aptos" w:eastAsia="Aptos"/>
                <w:color w:val="0E2D3E"/>
                <w:sz w:val="16"/>
              </w:rPr>
              <w:t>Network Map</w:t>
            </w:r>
          </w:p>
        </w:tc>
        <w:tc>
          <w:tcPr>
            <w:tcW w:type="dxa" w:w="6912"/>
            <w:tcMar>
              <w:top w:w="75" w:type="dxa"/>
              <w:start w:w="90" w:type="dxa"/>
              <w:bottom w:w="75" w:type="dxa"/>
              <w:end w:w="90" w:type="dxa"/>
            </w:tcMar>
            <w:shd w:fill="F4FAFC"/>
            <w:vAlign w:val="top"/>
          </w:tcPr>
          <w:p>
            <w:r>
              <w:rPr>
                <w:rFonts w:ascii="Aptos" w:hAnsi="Aptos" w:eastAsia="Aptos"/>
                <w:color w:val="0E2D3E"/>
                <w:sz w:val="16"/>
              </w:rPr>
              <w:t>Open the Global Intelligence Map.</w:t>
            </w:r>
          </w:p>
        </w:tc>
      </w:tr>
      <w:tr>
        <w:tc>
          <w:tcPr>
            <w:tcW w:type="dxa" w:w="2880"/>
            <w:tcMar>
              <w:top w:w="75" w:type="dxa"/>
              <w:start w:w="90" w:type="dxa"/>
              <w:bottom w:w="75" w:type="dxa"/>
              <w:end w:w="90" w:type="dxa"/>
            </w:tcMar>
            <w:vAlign w:val="top"/>
          </w:tcPr>
          <w:p>
            <w:r>
              <w:rPr>
                <w:rFonts w:ascii="Aptos" w:hAnsi="Aptos" w:eastAsia="Aptos"/>
                <w:color w:val="0E2D3E"/>
                <w:sz w:val="16"/>
              </w:rPr>
              <w:t>Payments</w:t>
            </w:r>
          </w:p>
        </w:tc>
        <w:tc>
          <w:tcPr>
            <w:tcW w:type="dxa" w:w="6912"/>
            <w:tcMar>
              <w:top w:w="75" w:type="dxa"/>
              <w:start w:w="90" w:type="dxa"/>
              <w:bottom w:w="75" w:type="dxa"/>
              <w:end w:w="90" w:type="dxa"/>
            </w:tcMar>
            <w:vAlign w:val="top"/>
          </w:tcPr>
          <w:p>
            <w:r>
              <w:rPr>
                <w:rFonts w:ascii="Aptos" w:hAnsi="Aptos" w:eastAsia="Aptos"/>
                <w:color w:val="0E2D3E"/>
                <w:sz w:val="16"/>
              </w:rPr>
              <w:t>View current commercial options and approved checkout destinations.</w:t>
            </w:r>
          </w:p>
        </w:tc>
      </w:tr>
      <w:tr>
        <w:tc>
          <w:tcPr>
            <w:tcW w:type="dxa" w:w="2880"/>
            <w:tcMar>
              <w:top w:w="75" w:type="dxa"/>
              <w:start w:w="90" w:type="dxa"/>
              <w:bottom w:w="75" w:type="dxa"/>
              <w:end w:w="90" w:type="dxa"/>
            </w:tcMar>
            <w:shd w:fill="F4FAFC"/>
            <w:vAlign w:val="top"/>
          </w:tcPr>
          <w:p>
            <w:r>
              <w:rPr>
                <w:rFonts w:ascii="Aptos" w:hAnsi="Aptos" w:eastAsia="Aptos"/>
                <w:color w:val="0E2D3E"/>
                <w:sz w:val="16"/>
              </w:rPr>
              <w:t>Contact</w:t>
            </w:r>
          </w:p>
        </w:tc>
        <w:tc>
          <w:tcPr>
            <w:tcW w:type="dxa" w:w="6912"/>
            <w:tcMar>
              <w:top w:w="75" w:type="dxa"/>
              <w:start w:w="90" w:type="dxa"/>
              <w:bottom w:w="75" w:type="dxa"/>
              <w:end w:w="90" w:type="dxa"/>
            </w:tcMar>
            <w:shd w:fill="F4FAFC"/>
            <w:vAlign w:val="top"/>
          </w:tcPr>
          <w:p>
            <w:r>
              <w:rPr>
                <w:rFonts w:ascii="Aptos" w:hAnsi="Aptos" w:eastAsia="Aptos"/>
                <w:color w:val="0E2D3E"/>
                <w:sz w:val="16"/>
              </w:rPr>
              <w:t>Open inquiry and support pathways.</w:t>
            </w:r>
          </w:p>
        </w:tc>
      </w:tr>
      <w:tr>
        <w:tc>
          <w:tcPr>
            <w:tcW w:type="dxa" w:w="2880"/>
            <w:tcMar>
              <w:top w:w="75" w:type="dxa"/>
              <w:start w:w="90" w:type="dxa"/>
              <w:bottom w:w="75" w:type="dxa"/>
              <w:end w:w="90" w:type="dxa"/>
            </w:tcMar>
            <w:vAlign w:val="top"/>
          </w:tcPr>
          <w:p>
            <w:r>
              <w:rPr>
                <w:rFonts w:ascii="Aptos" w:hAnsi="Aptos" w:eastAsia="Aptos"/>
                <w:color w:val="0E2D3E"/>
                <w:sz w:val="16"/>
              </w:rPr>
              <w:t>Partner Center / Expert Center / BAIOS / Live Data</w:t>
            </w:r>
          </w:p>
        </w:tc>
        <w:tc>
          <w:tcPr>
            <w:tcW w:type="dxa" w:w="6912"/>
            <w:tcMar>
              <w:top w:w="75" w:type="dxa"/>
              <w:start w:w="90" w:type="dxa"/>
              <w:bottom w:w="75" w:type="dxa"/>
              <w:end w:w="90" w:type="dxa"/>
            </w:tcMar>
            <w:vAlign w:val="top"/>
          </w:tcPr>
          <w:p>
            <w:r>
              <w:rPr>
                <w:rFonts w:ascii="Aptos" w:hAnsi="Aptos" w:eastAsia="Aptos"/>
                <w:color w:val="0E2D3E"/>
                <w:sz w:val="16"/>
              </w:rPr>
              <w:t>Use homepage action cards for high-value portal functions.</w:t>
            </w:r>
          </w:p>
        </w:tc>
      </w:tr>
      <w:tr>
        <w:tc>
          <w:tcPr>
            <w:tcW w:type="dxa" w:w="2880"/>
            <w:tcMar>
              <w:top w:w="75" w:type="dxa"/>
              <w:start w:w="90" w:type="dxa"/>
              <w:bottom w:w="75" w:type="dxa"/>
              <w:end w:w="90" w:type="dxa"/>
            </w:tcMar>
            <w:shd w:fill="F4FAFC"/>
            <w:vAlign w:val="top"/>
          </w:tcPr>
          <w:p>
            <w:r>
              <w:rPr>
                <w:rFonts w:ascii="Aptos" w:hAnsi="Aptos" w:eastAsia="Aptos"/>
                <w:color w:val="0E2D3E"/>
                <w:sz w:val="16"/>
              </w:rPr>
              <w:t>Sectors</w:t>
            </w:r>
          </w:p>
        </w:tc>
        <w:tc>
          <w:tcPr>
            <w:tcW w:type="dxa" w:w="6912"/>
            <w:tcMar>
              <w:top w:w="75" w:type="dxa"/>
              <w:start w:w="90" w:type="dxa"/>
              <w:bottom w:w="75" w:type="dxa"/>
              <w:end w:w="90" w:type="dxa"/>
            </w:tcMar>
            <w:shd w:fill="F4FAFC"/>
            <w:vAlign w:val="top"/>
          </w:tcPr>
          <w:p>
            <w:r>
              <w:rPr>
                <w:rFonts w:ascii="Aptos" w:hAnsi="Aptos" w:eastAsia="Aptos"/>
                <w:color w:val="0E2D3E"/>
                <w:sz w:val="16"/>
              </w:rPr>
              <w:t>Open the combined twenty-sector directory.</w:t>
            </w:r>
          </w:p>
        </w:tc>
      </w:tr>
    </w:tbl>
    <w:p>
      <w:pPr>
        <w:spacing w:after="20"/>
      </w:pPr>
    </w:p>
    <w:p>
      <w:pPr>
        <w:pStyle w:val="Heading1"/>
        <w:spacing w:before="0"/>
      </w:pPr>
      <w:r>
        <w:rPr>
          <w:rFonts w:ascii="Aptos Display" w:hAnsi="Aptos Display" w:eastAsia="Aptos Display"/>
          <w:b/>
          <w:color w:val="073B5C"/>
          <w:sz w:val="36"/>
        </w:rPr>
        <w:t>6. Noteworthy Items and the Intelligence Fabric</w:t>
      </w:r>
    </w:p>
    <w:p>
      <w:pPr>
        <w:spacing w:after="20"/>
        <w:jc w:val="center"/>
      </w:pPr>
      <w:r>
        <w:drawing>
          <wp:inline xmlns:a="http://schemas.openxmlformats.org/drawingml/2006/main" xmlns:pic="http://schemas.openxmlformats.org/drawingml/2006/picture">
            <wp:extent cx="6263640" cy="4716152"/>
            <wp:docPr id="6" name="Picture 6"/>
            <wp:cNvGraphicFramePr>
              <a:graphicFrameLocks noChangeAspect="1"/>
            </wp:cNvGraphicFramePr>
            <a:graphic>
              <a:graphicData uri="http://schemas.openxmlformats.org/drawingml/2006/picture">
                <pic:pic>
                  <pic:nvPicPr>
                    <pic:cNvPr id="0" name="noteworthy_items.jpg"/>
                    <pic:cNvPicPr/>
                  </pic:nvPicPr>
                  <pic:blipFill>
                    <a:blip r:embed="rId15"/>
                    <a:stretch>
                      <a:fillRect/>
                    </a:stretch>
                  </pic:blipFill>
                  <pic:spPr>
                    <a:xfrm>
                      <a:off x="0" y="0"/>
                      <a:ext cx="6263640" cy="4716152"/>
                    </a:xfrm>
                    <a:prstGeom prst="rect"/>
                  </pic:spPr>
                </pic:pic>
              </a:graphicData>
            </a:graphic>
          </wp:inline>
        </w:drawing>
      </w:r>
    </w:p>
    <w:p>
      <w:pPr>
        <w:pStyle w:val="FigureCaption"/>
        <w:jc w:val="center"/>
      </w:pPr>
      <w:r>
        <w:t>Noteworthy Items with category, title, summary, source/date/confidence metadata and agent handoff buttons.</w:t>
      </w:r>
    </w:p>
    <w:p>
      <w:pPr>
        <w:pStyle w:val="ListNumber"/>
        <w:spacing w:after="40"/>
      </w:pPr>
      <w:r>
        <w:rPr>
          <w:rFonts w:ascii="Aptos" w:hAnsi="Aptos" w:eastAsia="Aptos"/>
          <w:sz w:val="18"/>
        </w:rPr>
        <w:t>Read the category, title and summary.</w:t>
      </w:r>
    </w:p>
    <w:p>
      <w:pPr>
        <w:pStyle w:val="ListNumber"/>
        <w:spacing w:after="40"/>
      </w:pPr>
      <w:r>
        <w:rPr>
          <w:rFonts w:ascii="Aptos" w:hAnsi="Aptos" w:eastAsia="Aptos"/>
          <w:sz w:val="18"/>
        </w:rPr>
        <w:t>Review the publisher, publication date, confidence and ingestion/review state.</w:t>
      </w:r>
    </w:p>
    <w:p>
      <w:pPr>
        <w:pStyle w:val="ListNumber"/>
        <w:spacing w:after="40"/>
      </w:pPr>
      <w:r>
        <w:rPr>
          <w:rFonts w:ascii="Aptos" w:hAnsi="Aptos" w:eastAsia="Aptos"/>
          <w:sz w:val="18"/>
        </w:rPr>
        <w:t>Choose Portal Item to open the canonical internal record.</w:t>
      </w:r>
    </w:p>
    <w:p>
      <w:pPr>
        <w:pStyle w:val="ListNumber"/>
        <w:spacing w:after="40"/>
      </w:pPr>
      <w:r>
        <w:rPr>
          <w:rFonts w:ascii="Aptos" w:hAnsi="Aptos" w:eastAsia="Aptos"/>
          <w:sz w:val="18"/>
        </w:rPr>
        <w:t>Choose Analyze to load the record into the Noteworthy Analysis Agent.</w:t>
      </w:r>
    </w:p>
    <w:p>
      <w:pPr>
        <w:pStyle w:val="ListNumber"/>
        <w:spacing w:after="40"/>
      </w:pPr>
      <w:r>
        <w:rPr>
          <w:rFonts w:ascii="Aptos" w:hAnsi="Aptos" w:eastAsia="Aptos"/>
          <w:sz w:val="18"/>
        </w:rPr>
        <w:t>Choose Company Impact to add a company-specific question while retaining the same source record.</w:t>
      </w:r>
    </w:p>
    <w:p>
      <w:pPr>
        <w:pStyle w:val="ListNumber"/>
        <w:spacing w:after="40"/>
      </w:pPr>
      <w:r>
        <w:rPr>
          <w:rFonts w:ascii="Aptos" w:hAnsi="Aptos" w:eastAsia="Aptos"/>
          <w:sz w:val="18"/>
        </w:rPr>
        <w:t>Open the external source only when independent source review is required.</w:t>
      </w:r>
    </w:p>
    <w:tbl>
      <w:tblPr>
        <w:tblW w:type="auto" w:w="0"/>
        <w:jc w:val="center"/>
        <w:tblLayout w:type="autofit"/>
        <w:tblLook w:firstColumn="1" w:firstRow="1" w:lastColumn="0" w:lastRow="0" w:noHBand="0" w:noVBand="1" w:val="04A0"/>
      </w:tblPr>
      <w:tblGrid>
        <w:gridCol w:w="10340"/>
      </w:tblGrid>
      <w:tr>
        <w:trPr>
          <w:cantSplit/>
        </w:trPr>
        <w:tc>
          <w:tcPr>
            <w:tcW w:type="dxa" w:w="10340"/>
            <w:shd w:fill="EAF7FB"/>
            <w:tcBorders>
              <w:top w:val="single" w:sz="2" w:color="EAF7FB"/>
              <w:left w:val="single" w:sz="18" w:color="00A6C8"/>
              <w:bottom w:val="single" w:sz="2" w:color="EAF7FB"/>
              <w:right w:val="single" w:sz="2" w:color="EAF7FB"/>
            </w:tcBorders>
            <w:tcMar>
              <w:top w:w="120" w:type="dxa"/>
              <w:start w:w="160" w:type="dxa"/>
              <w:bottom w:w="120" w:type="dxa"/>
              <w:end w:w="160" w:type="dxa"/>
            </w:tcMar>
          </w:tcPr>
          <w:p>
            <w:r>
              <w:rPr>
                <w:rFonts w:ascii="Aptos" w:hAnsi="Aptos" w:eastAsia="Aptos"/>
                <w:b/>
                <w:color w:val="073B5C"/>
                <w:sz w:val="20"/>
              </w:rPr>
              <w:t>Interpretation rule</w:t>
            </w:r>
          </w:p>
          <w:p>
            <w:pPr>
              <w:spacing w:after="0"/>
            </w:pPr>
            <w:r>
              <w:rPr>
                <w:rFonts w:ascii="Aptos" w:hAnsi="Aptos" w:eastAsia="Aptos"/>
                <w:color w:val="0E2D3E"/>
                <w:sz w:val="18"/>
              </w:rPr>
              <w:t>A Noteworthy record is a curated portal signal, not proof that the underlying claim is correct or commercially material. Use the source, date, confidence, review state and agent caveats together.</w:t>
            </w:r>
          </w:p>
        </w:tc>
      </w:tr>
    </w:tbl>
    <w:p>
      <w:pPr>
        <w:spacing w:after="0"/>
      </w:pPr>
    </w:p>
    <w:p>
      <w:r>
        <w:br w:type="page"/>
      </w:r>
    </w:p>
    <w:p>
      <w:pPr>
        <w:pStyle w:val="Heading1"/>
        <w:spacing w:before="0"/>
      </w:pPr>
      <w:r>
        <w:rPr>
          <w:rFonts w:ascii="Aptos Display" w:hAnsi="Aptos Display" w:eastAsia="Aptos Display"/>
          <w:b/>
          <w:color w:val="073B5C"/>
          <w:sz w:val="36"/>
        </w:rPr>
        <w:t>7. Expert Center and Agent Profiles</w:t>
      </w:r>
    </w:p>
    <w:p>
      <w:pPr>
        <w:spacing w:after="20"/>
        <w:jc w:val="center"/>
      </w:pPr>
      <w:r>
        <w:drawing>
          <wp:inline xmlns:a="http://schemas.openxmlformats.org/drawingml/2006/main" xmlns:pic="http://schemas.openxmlformats.org/drawingml/2006/picture">
            <wp:extent cx="4800600" cy="4979875"/>
            <wp:docPr id="7" name="Picture 7"/>
            <wp:cNvGraphicFramePr>
              <a:graphicFrameLocks noChangeAspect="1"/>
            </wp:cNvGraphicFramePr>
            <a:graphic>
              <a:graphicData uri="http://schemas.openxmlformats.org/drawingml/2006/picture">
                <pic:pic>
                  <pic:nvPicPr>
                    <pic:cNvPr id="0" name="agent_profile.jpg"/>
                    <pic:cNvPicPr/>
                  </pic:nvPicPr>
                  <pic:blipFill>
                    <a:blip r:embed="rId16"/>
                    <a:stretch>
                      <a:fillRect/>
                    </a:stretch>
                  </pic:blipFill>
                  <pic:spPr>
                    <a:xfrm>
                      <a:off x="0" y="0"/>
                      <a:ext cx="4800600" cy="4979875"/>
                    </a:xfrm>
                    <a:prstGeom prst="rect"/>
                  </pic:spPr>
                </pic:pic>
              </a:graphicData>
            </a:graphic>
          </wp:inline>
        </w:drawing>
      </w:r>
    </w:p>
    <w:p>
      <w:pPr>
        <w:pStyle w:val="FigureCaption"/>
        <w:jc w:val="center"/>
      </w:pPr>
      <w:r>
        <w:t>Agent profile and console with attached canonical Intelligence Fabric context.</w:t>
      </w:r>
    </w:p>
    <w:p>
      <w:r>
        <w:rPr>
          <w:rFonts w:ascii="Aptos" w:hAnsi="Aptos" w:eastAsia="Aptos"/>
        </w:rPr>
        <w:t>Agent pages explain what the agent is for before the user generates a response. The primary mission, best-use field, source/confidence rules and example prompt should be reviewed before editing the prompt.</w:t>
      </w:r>
    </w:p>
    <w:tbl>
      <w:tblPr>
        <w:tblStyle w:val="TableGrid"/>
        <w:tblW w:type="auto" w:w="0"/>
        <w:jc w:val="center"/>
        <w:tblLook w:firstColumn="1" w:firstRow="1" w:lastColumn="0" w:lastRow="0" w:noHBand="0" w:noVBand="1" w:val="04A0"/>
      </w:tblPr>
      <w:tblGrid>
        <w:gridCol w:w="5170"/>
        <w:gridCol w:w="5170"/>
      </w:tblGrid>
      <w:tr>
        <w:trPr>
          <w:tblHeader w:val="true"/>
        </w:trPr>
        <w:tc>
          <w:tcPr>
            <w:tcW w:type="dxa" w:w="2160"/>
            <w:shd w:fill="073B5C"/>
            <w:tcMar>
              <w:top w:w="90" w:type="dxa"/>
              <w:start w:w="100" w:type="dxa"/>
              <w:bottom w:w="90" w:type="dxa"/>
              <w:end w:w="100" w:type="dxa"/>
            </w:tcMar>
          </w:tcPr>
          <w:p>
            <w:pPr>
              <w:jc w:val="left"/>
            </w:pPr>
            <w:r>
              <w:rPr>
                <w:rFonts w:ascii="Aptos" w:hAnsi="Aptos" w:eastAsia="Aptos"/>
                <w:b/>
                <w:color w:val="FFFFFF"/>
                <w:sz w:val="18"/>
              </w:rPr>
              <w:t>Step</w:t>
            </w:r>
          </w:p>
        </w:tc>
        <w:tc>
          <w:tcPr>
            <w:tcW w:type="dxa" w:w="7632"/>
            <w:shd w:fill="073B5C"/>
            <w:tcMar>
              <w:top w:w="90" w:type="dxa"/>
              <w:start w:w="100" w:type="dxa"/>
              <w:bottom w:w="90" w:type="dxa"/>
              <w:end w:w="100" w:type="dxa"/>
            </w:tcMar>
          </w:tcPr>
          <w:p>
            <w:pPr>
              <w:jc w:val="left"/>
            </w:pPr>
            <w:r>
              <w:rPr>
                <w:rFonts w:ascii="Aptos" w:hAnsi="Aptos" w:eastAsia="Aptos"/>
                <w:b/>
                <w:color w:val="FFFFFF"/>
                <w:sz w:val="18"/>
              </w:rPr>
              <w:t>Action</w:t>
            </w:r>
          </w:p>
        </w:tc>
      </w:tr>
      <w:tr>
        <w:tc>
          <w:tcPr>
            <w:tcW w:type="dxa" w:w="2160"/>
            <w:tcMar>
              <w:top w:w="75" w:type="dxa"/>
              <w:start w:w="90" w:type="dxa"/>
              <w:bottom w:w="75" w:type="dxa"/>
              <w:end w:w="90" w:type="dxa"/>
            </w:tcMar>
            <w:vAlign w:val="top"/>
          </w:tcPr>
          <w:p>
            <w:r>
              <w:rPr>
                <w:rFonts w:ascii="Aptos" w:hAnsi="Aptos" w:eastAsia="Aptos"/>
                <w:color w:val="0E2D3E"/>
                <w:sz w:val="17"/>
              </w:rPr>
              <w:t>1. Confirm context</w:t>
            </w:r>
          </w:p>
        </w:tc>
        <w:tc>
          <w:tcPr>
            <w:tcW w:type="dxa" w:w="7632"/>
            <w:tcMar>
              <w:top w:w="75" w:type="dxa"/>
              <w:start w:w="90" w:type="dxa"/>
              <w:bottom w:w="75" w:type="dxa"/>
              <w:end w:w="90" w:type="dxa"/>
            </w:tcMar>
            <w:vAlign w:val="top"/>
          </w:tcPr>
          <w:p>
            <w:r>
              <w:rPr>
                <w:rFonts w:ascii="Aptos" w:hAnsi="Aptos" w:eastAsia="Aptos"/>
                <w:color w:val="0E2D3E"/>
                <w:sz w:val="17"/>
              </w:rPr>
              <w:t>Verify the selected item, source and confidence information shown above the agent.</w:t>
            </w:r>
          </w:p>
        </w:tc>
      </w:tr>
      <w:tr>
        <w:tc>
          <w:tcPr>
            <w:tcW w:type="dxa" w:w="2160"/>
            <w:tcMar>
              <w:top w:w="75" w:type="dxa"/>
              <w:start w:w="90" w:type="dxa"/>
              <w:bottom w:w="75" w:type="dxa"/>
              <w:end w:w="90" w:type="dxa"/>
            </w:tcMar>
            <w:shd w:fill="F4FAFC"/>
            <w:vAlign w:val="top"/>
          </w:tcPr>
          <w:p>
            <w:r>
              <w:rPr>
                <w:rFonts w:ascii="Aptos" w:hAnsi="Aptos" w:eastAsia="Aptos"/>
                <w:color w:val="0E2D3E"/>
                <w:sz w:val="17"/>
              </w:rPr>
              <w:t>2. Read the mission</w:t>
            </w:r>
          </w:p>
        </w:tc>
        <w:tc>
          <w:tcPr>
            <w:tcW w:type="dxa" w:w="7632"/>
            <w:tcMar>
              <w:top w:w="75" w:type="dxa"/>
              <w:start w:w="90" w:type="dxa"/>
              <w:bottom w:w="75" w:type="dxa"/>
              <w:end w:w="90" w:type="dxa"/>
            </w:tcMar>
            <w:shd w:fill="F4FAFC"/>
            <w:vAlign w:val="top"/>
          </w:tcPr>
          <w:p>
            <w:r>
              <w:rPr>
                <w:rFonts w:ascii="Aptos" w:hAnsi="Aptos" w:eastAsia="Aptos"/>
                <w:color w:val="0E2D3E"/>
                <w:sz w:val="17"/>
              </w:rPr>
              <w:t>Confirm that the selected agent matches the question.</w:t>
            </w:r>
          </w:p>
        </w:tc>
      </w:tr>
      <w:tr>
        <w:tc>
          <w:tcPr>
            <w:tcW w:type="dxa" w:w="2160"/>
            <w:tcMar>
              <w:top w:w="75" w:type="dxa"/>
              <w:start w:w="90" w:type="dxa"/>
              <w:bottom w:w="75" w:type="dxa"/>
              <w:end w:w="90" w:type="dxa"/>
            </w:tcMar>
            <w:vAlign w:val="top"/>
          </w:tcPr>
          <w:p>
            <w:r>
              <w:rPr>
                <w:rFonts w:ascii="Aptos" w:hAnsi="Aptos" w:eastAsia="Aptos"/>
                <w:color w:val="0E2D3E"/>
                <w:sz w:val="17"/>
              </w:rPr>
              <w:t>3. Edit the prompt</w:t>
            </w:r>
          </w:p>
        </w:tc>
        <w:tc>
          <w:tcPr>
            <w:tcW w:type="dxa" w:w="7632"/>
            <w:tcMar>
              <w:top w:w="75" w:type="dxa"/>
              <w:start w:w="90" w:type="dxa"/>
              <w:bottom w:w="75" w:type="dxa"/>
              <w:end w:w="90" w:type="dxa"/>
            </w:tcMar>
            <w:vAlign w:val="top"/>
          </w:tcPr>
          <w:p>
            <w:r>
              <w:rPr>
                <w:rFonts w:ascii="Aptos" w:hAnsi="Aptos" w:eastAsia="Aptos"/>
                <w:color w:val="0E2D3E"/>
                <w:sz w:val="17"/>
              </w:rPr>
              <w:t>Add the company, geography, timeframe, decision or output format needed.</w:t>
            </w:r>
          </w:p>
        </w:tc>
      </w:tr>
      <w:tr>
        <w:tc>
          <w:tcPr>
            <w:tcW w:type="dxa" w:w="2160"/>
            <w:tcMar>
              <w:top w:w="75" w:type="dxa"/>
              <w:start w:w="90" w:type="dxa"/>
              <w:bottom w:w="75" w:type="dxa"/>
              <w:end w:w="90" w:type="dxa"/>
            </w:tcMar>
            <w:shd w:fill="F4FAFC"/>
            <w:vAlign w:val="top"/>
          </w:tcPr>
          <w:p>
            <w:r>
              <w:rPr>
                <w:rFonts w:ascii="Aptos" w:hAnsi="Aptos" w:eastAsia="Aptos"/>
                <w:color w:val="0E2D3E"/>
                <w:sz w:val="17"/>
              </w:rPr>
              <w:t>4. Generate</w:t>
            </w:r>
          </w:p>
        </w:tc>
        <w:tc>
          <w:tcPr>
            <w:tcW w:type="dxa" w:w="7632"/>
            <w:tcMar>
              <w:top w:w="75" w:type="dxa"/>
              <w:start w:w="90" w:type="dxa"/>
              <w:bottom w:w="75" w:type="dxa"/>
              <w:end w:w="90" w:type="dxa"/>
            </w:tcMar>
            <w:shd w:fill="F4FAFC"/>
            <w:vAlign w:val="top"/>
          </w:tcPr>
          <w:p>
            <w:r>
              <w:rPr>
                <w:rFonts w:ascii="Aptos" w:hAnsi="Aptos" w:eastAsia="Aptos"/>
                <w:color w:val="0E2D3E"/>
                <w:sz w:val="17"/>
              </w:rPr>
              <w:t>Submit the request to the detached Agent Execution Bridge.</w:t>
            </w:r>
          </w:p>
        </w:tc>
      </w:tr>
      <w:tr>
        <w:tc>
          <w:tcPr>
            <w:tcW w:type="dxa" w:w="2160"/>
            <w:tcMar>
              <w:top w:w="75" w:type="dxa"/>
              <w:start w:w="90" w:type="dxa"/>
              <w:bottom w:w="75" w:type="dxa"/>
              <w:end w:w="90" w:type="dxa"/>
            </w:tcMar>
            <w:vAlign w:val="top"/>
          </w:tcPr>
          <w:p>
            <w:r>
              <w:rPr>
                <w:rFonts w:ascii="Aptos" w:hAnsi="Aptos" w:eastAsia="Aptos"/>
                <w:color w:val="0E2D3E"/>
                <w:sz w:val="17"/>
              </w:rPr>
              <w:t>5. Review</w:t>
            </w:r>
          </w:p>
        </w:tc>
        <w:tc>
          <w:tcPr>
            <w:tcW w:type="dxa" w:w="7632"/>
            <w:tcMar>
              <w:top w:w="75" w:type="dxa"/>
              <w:start w:w="90" w:type="dxa"/>
              <w:bottom w:w="75" w:type="dxa"/>
              <w:end w:w="90" w:type="dxa"/>
            </w:tcMar>
            <w:vAlign w:val="top"/>
          </w:tcPr>
          <w:p>
            <w:r>
              <w:rPr>
                <w:rFonts w:ascii="Aptos" w:hAnsi="Aptos" w:eastAsia="Aptos"/>
                <w:color w:val="0E2D3E"/>
                <w:sz w:val="17"/>
              </w:rPr>
              <w:t>Check runtime, provider/model, confidence state and source context before relying on the output.</w:t>
            </w:r>
          </w:p>
        </w:tc>
      </w:tr>
      <w:tr>
        <w:tc>
          <w:tcPr>
            <w:tcW w:type="dxa" w:w="2160"/>
            <w:tcMar>
              <w:top w:w="75" w:type="dxa"/>
              <w:start w:w="90" w:type="dxa"/>
              <w:bottom w:w="75" w:type="dxa"/>
              <w:end w:w="90" w:type="dxa"/>
            </w:tcMar>
            <w:shd w:fill="F4FAFC"/>
            <w:vAlign w:val="top"/>
          </w:tcPr>
          <w:p>
            <w:r>
              <w:rPr>
                <w:rFonts w:ascii="Aptos" w:hAnsi="Aptos" w:eastAsia="Aptos"/>
                <w:color w:val="0E2D3E"/>
                <w:sz w:val="17"/>
              </w:rPr>
              <w:t>6. Preserve / export</w:t>
            </w:r>
          </w:p>
        </w:tc>
        <w:tc>
          <w:tcPr>
            <w:tcW w:type="dxa" w:w="7632"/>
            <w:tcMar>
              <w:top w:w="75" w:type="dxa"/>
              <w:start w:w="90" w:type="dxa"/>
              <w:bottom w:w="75" w:type="dxa"/>
              <w:end w:w="90" w:type="dxa"/>
            </w:tcMar>
            <w:shd w:fill="F4FAFC"/>
            <w:vAlign w:val="top"/>
          </w:tcPr>
          <w:p>
            <w:r>
              <w:rPr>
                <w:rFonts w:ascii="Aptos" w:hAnsi="Aptos" w:eastAsia="Aptos"/>
                <w:color w:val="0E2D3E"/>
                <w:sz w:val="17"/>
              </w:rPr>
              <w:t>Copy, download TXT/DOCX/PDF, print or return to the agent.</w:t>
            </w:r>
          </w:p>
        </w:tc>
      </w:tr>
    </w:tbl>
    <w:p>
      <w:pPr>
        <w:spacing w:after="20"/>
      </w:pPr>
    </w:p>
    <w:p>
      <w:pPr>
        <w:pStyle w:val="Heading1"/>
        <w:spacing w:before="0"/>
      </w:pPr>
      <w:r>
        <w:rPr>
          <w:rFonts w:ascii="Aptos Display" w:hAnsi="Aptos Display" w:eastAsia="Aptos Display"/>
          <w:b/>
          <w:color w:val="073B5C"/>
          <w:sz w:val="36"/>
        </w:rPr>
        <w:t>8. Running an Agent and Automatic Status Refresh</w:t>
      </w:r>
    </w:p>
    <w:p>
      <w:pPr>
        <w:spacing w:after="20"/>
        <w:jc w:val="center"/>
      </w:pPr>
      <w:r>
        <w:drawing>
          <wp:inline xmlns:a="http://schemas.openxmlformats.org/drawingml/2006/main" xmlns:pic="http://schemas.openxmlformats.org/drawingml/2006/picture">
            <wp:extent cx="6172200" cy="3471863"/>
            <wp:docPr id="8" name="Picture 8"/>
            <wp:cNvGraphicFramePr>
              <a:graphicFrameLocks noChangeAspect="1"/>
            </wp:cNvGraphicFramePr>
            <a:graphic>
              <a:graphicData uri="http://schemas.openxmlformats.org/drawingml/2006/picture">
                <pic:pic>
                  <pic:nvPicPr>
                    <pic:cNvPr id="0" name="agent_progress.jpg"/>
                    <pic:cNvPicPr/>
                  </pic:nvPicPr>
                  <pic:blipFill>
                    <a:blip r:embed="rId17"/>
                    <a:stretch>
                      <a:fillRect/>
                    </a:stretch>
                  </pic:blipFill>
                  <pic:spPr>
                    <a:xfrm>
                      <a:off x="0" y="0"/>
                      <a:ext cx="6172200" cy="3471863"/>
                    </a:xfrm>
                    <a:prstGeom prst="rect"/>
                  </pic:spPr>
                </pic:pic>
              </a:graphicData>
            </a:graphic>
          </wp:inline>
        </w:drawing>
      </w:r>
    </w:p>
    <w:p>
      <w:pPr>
        <w:pStyle w:val="FigureCaption"/>
        <w:jc w:val="center"/>
      </w:pPr>
      <w:r>
        <w:t>Agent generation progress page after the automatic-refresh correction.</w:t>
      </w:r>
    </w:p>
    <w:p>
      <w:r>
        <w:rPr>
          <w:rFonts w:ascii="Aptos" w:hAnsi="Aptos" w:eastAsia="Aptos"/>
        </w:rPr>
        <w:t>The Portal Engine dispatches the request to an independent execution worker. The page performs short status checks instead of holding one long WordPress-to-Engine-to-LLM connection open.</w:t>
      </w:r>
    </w:p>
    <w:tbl>
      <w:tblPr>
        <w:tblStyle w:val="TableGrid"/>
        <w:tblW w:type="auto" w:w="0"/>
        <w:jc w:val="center"/>
        <w:tblLook w:firstColumn="1" w:firstRow="1" w:lastColumn="0" w:lastRow="0" w:noHBand="0" w:noVBand="1" w:val="04A0"/>
      </w:tblPr>
      <w:tblGrid>
        <w:gridCol w:w="5170"/>
        <w:gridCol w:w="5170"/>
      </w:tblGrid>
      <w:tr>
        <w:trPr>
          <w:tblHeader w:val="true"/>
        </w:trPr>
        <w:tc>
          <w:tcPr>
            <w:tcW w:type="dxa" w:w="2592"/>
            <w:shd w:fill="073B5C"/>
            <w:tcMar>
              <w:top w:w="90" w:type="dxa"/>
              <w:start w:w="100" w:type="dxa"/>
              <w:bottom w:w="90" w:type="dxa"/>
              <w:end w:w="100" w:type="dxa"/>
            </w:tcMar>
          </w:tcPr>
          <w:p>
            <w:pPr>
              <w:jc w:val="left"/>
            </w:pPr>
            <w:r>
              <w:rPr>
                <w:rFonts w:ascii="Aptos" w:hAnsi="Aptos" w:eastAsia="Aptos"/>
                <w:b/>
                <w:color w:val="FFFFFF"/>
                <w:sz w:val="18"/>
              </w:rPr>
              <w:t>Progress Stage</w:t>
            </w:r>
          </w:p>
        </w:tc>
        <w:tc>
          <w:tcPr>
            <w:tcW w:type="dxa" w:w="7200"/>
            <w:shd w:fill="073B5C"/>
            <w:tcMar>
              <w:top w:w="90" w:type="dxa"/>
              <w:start w:w="100" w:type="dxa"/>
              <w:bottom w:w="90" w:type="dxa"/>
              <w:end w:w="100" w:type="dxa"/>
            </w:tcMar>
          </w:tcPr>
          <w:p>
            <w:pPr>
              <w:jc w:val="left"/>
            </w:pPr>
            <w:r>
              <w:rPr>
                <w:rFonts w:ascii="Aptos" w:hAnsi="Aptos" w:eastAsia="Aptos"/>
                <w:b/>
                <w:color w:val="FFFFFF"/>
                <w:sz w:val="18"/>
              </w:rPr>
              <w:t>Meaning</w:t>
            </w:r>
          </w:p>
        </w:tc>
      </w:tr>
      <w:tr>
        <w:tc>
          <w:tcPr>
            <w:tcW w:type="dxa" w:w="2592"/>
            <w:tcMar>
              <w:top w:w="75" w:type="dxa"/>
              <w:start w:w="90" w:type="dxa"/>
              <w:bottom w:w="75" w:type="dxa"/>
              <w:end w:w="90" w:type="dxa"/>
            </w:tcMar>
            <w:vAlign w:val="top"/>
          </w:tcPr>
          <w:p>
            <w:r>
              <w:rPr>
                <w:rFonts w:ascii="Aptos" w:hAnsi="Aptos" w:eastAsia="Aptos"/>
                <w:color w:val="0E2D3E"/>
                <w:sz w:val="17"/>
              </w:rPr>
              <w:t>Queued</w:t>
            </w:r>
          </w:p>
        </w:tc>
        <w:tc>
          <w:tcPr>
            <w:tcW w:type="dxa" w:w="7200"/>
            <w:tcMar>
              <w:top w:w="75" w:type="dxa"/>
              <w:start w:w="90" w:type="dxa"/>
              <w:bottom w:w="75" w:type="dxa"/>
              <w:end w:w="90" w:type="dxa"/>
            </w:tcMar>
            <w:vAlign w:val="top"/>
          </w:tcPr>
          <w:p>
            <w:r>
              <w:rPr>
                <w:rFonts w:ascii="Aptos" w:hAnsi="Aptos" w:eastAsia="Aptos"/>
                <w:color w:val="0E2D3E"/>
                <w:sz w:val="17"/>
              </w:rPr>
              <w:t>Request accepted and waiting for a worker.</w:t>
            </w:r>
          </w:p>
        </w:tc>
      </w:tr>
      <w:tr>
        <w:tc>
          <w:tcPr>
            <w:tcW w:type="dxa" w:w="2592"/>
            <w:tcMar>
              <w:top w:w="75" w:type="dxa"/>
              <w:start w:w="90" w:type="dxa"/>
              <w:bottom w:w="75" w:type="dxa"/>
              <w:end w:w="90" w:type="dxa"/>
            </w:tcMar>
            <w:shd w:fill="F4FAFC"/>
            <w:vAlign w:val="top"/>
          </w:tcPr>
          <w:p>
            <w:r>
              <w:rPr>
                <w:rFonts w:ascii="Aptos" w:hAnsi="Aptos" w:eastAsia="Aptos"/>
                <w:color w:val="0E2D3E"/>
                <w:sz w:val="17"/>
              </w:rPr>
              <w:t>Loading source context</w:t>
            </w:r>
          </w:p>
        </w:tc>
        <w:tc>
          <w:tcPr>
            <w:tcW w:type="dxa" w:w="7200"/>
            <w:tcMar>
              <w:top w:w="75" w:type="dxa"/>
              <w:start w:w="90" w:type="dxa"/>
              <w:bottom w:w="75" w:type="dxa"/>
              <w:end w:w="90" w:type="dxa"/>
            </w:tcMar>
            <w:shd w:fill="F4FAFC"/>
            <w:vAlign w:val="top"/>
          </w:tcPr>
          <w:p>
            <w:r>
              <w:rPr>
                <w:rFonts w:ascii="Aptos" w:hAnsi="Aptos" w:eastAsia="Aptos"/>
                <w:color w:val="0E2D3E"/>
                <w:sz w:val="17"/>
              </w:rPr>
              <w:t>Canonical portal record and related context are being assembled.</w:t>
            </w:r>
          </w:p>
        </w:tc>
      </w:tr>
      <w:tr>
        <w:tc>
          <w:tcPr>
            <w:tcW w:type="dxa" w:w="2592"/>
            <w:tcMar>
              <w:top w:w="75" w:type="dxa"/>
              <w:start w:w="90" w:type="dxa"/>
              <w:bottom w:w="75" w:type="dxa"/>
              <w:end w:w="90" w:type="dxa"/>
            </w:tcMar>
            <w:vAlign w:val="top"/>
          </w:tcPr>
          <w:p>
            <w:r>
              <w:rPr>
                <w:rFonts w:ascii="Aptos" w:hAnsi="Aptos" w:eastAsia="Aptos"/>
                <w:color w:val="0E2D3E"/>
                <w:sz w:val="17"/>
              </w:rPr>
              <w:t>Generating response</w:t>
            </w:r>
          </w:p>
        </w:tc>
        <w:tc>
          <w:tcPr>
            <w:tcW w:type="dxa" w:w="7200"/>
            <w:tcMar>
              <w:top w:w="75" w:type="dxa"/>
              <w:start w:w="90" w:type="dxa"/>
              <w:bottom w:w="75" w:type="dxa"/>
              <w:end w:w="90" w:type="dxa"/>
            </w:tcMar>
            <w:vAlign w:val="top"/>
          </w:tcPr>
          <w:p>
            <w:r>
              <w:rPr>
                <w:rFonts w:ascii="Aptos" w:hAnsi="Aptos" w:eastAsia="Aptos"/>
                <w:color w:val="0E2D3E"/>
                <w:sz w:val="17"/>
              </w:rPr>
              <w:t>The configured live model or explicitly labeled fallback is producing the answer.</w:t>
            </w:r>
          </w:p>
        </w:tc>
      </w:tr>
      <w:tr>
        <w:tc>
          <w:tcPr>
            <w:tcW w:type="dxa" w:w="2592"/>
            <w:tcMar>
              <w:top w:w="75" w:type="dxa"/>
              <w:start w:w="90" w:type="dxa"/>
              <w:bottom w:w="75" w:type="dxa"/>
              <w:end w:w="90" w:type="dxa"/>
            </w:tcMar>
            <w:shd w:fill="F4FAFC"/>
            <w:vAlign w:val="top"/>
          </w:tcPr>
          <w:p>
            <w:r>
              <w:rPr>
                <w:rFonts w:ascii="Aptos" w:hAnsi="Aptos" w:eastAsia="Aptos"/>
                <w:color w:val="0E2D3E"/>
                <w:sz w:val="17"/>
              </w:rPr>
              <w:t>Preserving output</w:t>
            </w:r>
          </w:p>
        </w:tc>
        <w:tc>
          <w:tcPr>
            <w:tcW w:type="dxa" w:w="7200"/>
            <w:tcMar>
              <w:top w:w="75" w:type="dxa"/>
              <w:start w:w="90" w:type="dxa"/>
              <w:bottom w:w="75" w:type="dxa"/>
              <w:end w:w="90" w:type="dxa"/>
            </w:tcMar>
            <w:shd w:fill="F4FAFC"/>
            <w:vAlign w:val="top"/>
          </w:tcPr>
          <w:p>
            <w:r>
              <w:rPr>
                <w:rFonts w:ascii="Aptos" w:hAnsi="Aptos" w:eastAsia="Aptos"/>
                <w:color w:val="0E2D3E"/>
                <w:sz w:val="17"/>
              </w:rPr>
              <w:t>The response and metadata are being stored.</w:t>
            </w:r>
          </w:p>
        </w:tc>
      </w:tr>
      <w:tr>
        <w:tc>
          <w:tcPr>
            <w:tcW w:type="dxa" w:w="2592"/>
            <w:tcMar>
              <w:top w:w="75" w:type="dxa"/>
              <w:start w:w="90" w:type="dxa"/>
              <w:bottom w:w="75" w:type="dxa"/>
              <w:end w:w="90" w:type="dxa"/>
            </w:tcMar>
            <w:vAlign w:val="top"/>
          </w:tcPr>
          <w:p>
            <w:r>
              <w:rPr>
                <w:rFonts w:ascii="Aptos" w:hAnsi="Aptos" w:eastAsia="Aptos"/>
                <w:color w:val="0E2D3E"/>
                <w:sz w:val="17"/>
              </w:rPr>
              <w:t>Complete</w:t>
            </w:r>
          </w:p>
        </w:tc>
        <w:tc>
          <w:tcPr>
            <w:tcW w:type="dxa" w:w="7200"/>
            <w:tcMar>
              <w:top w:w="75" w:type="dxa"/>
              <w:start w:w="90" w:type="dxa"/>
              <w:bottom w:w="75" w:type="dxa"/>
              <w:end w:w="90" w:type="dxa"/>
            </w:tcMar>
            <w:vAlign w:val="top"/>
          </w:tcPr>
          <w:p>
            <w:r>
              <w:rPr>
                <w:rFonts w:ascii="Aptos" w:hAnsi="Aptos" w:eastAsia="Aptos"/>
                <w:color w:val="0E2D3E"/>
                <w:sz w:val="17"/>
              </w:rPr>
              <w:t>The preserved output page is ready.</w:t>
            </w:r>
          </w:p>
        </w:tc>
      </w:tr>
    </w:tbl>
    <w:p>
      <w:pPr>
        <w:spacing w:after="20"/>
      </w:pPr>
    </w:p>
    <w:p>
      <w:pPr>
        <w:pStyle w:val="ListBullet"/>
        <w:spacing w:after="40"/>
      </w:pPr>
      <w:r>
        <w:rPr>
          <w:rFonts w:ascii="Aptos" w:hAnsi="Aptos" w:eastAsia="Aptos"/>
          <w:sz w:val="18"/>
        </w:rPr>
        <w:t>The page should advance automatically when complete.</w:t>
      </w:r>
    </w:p>
    <w:p>
      <w:pPr>
        <w:pStyle w:val="ListBullet"/>
        <w:spacing w:after="40"/>
      </w:pPr>
      <w:r>
        <w:rPr>
          <w:rFonts w:ascii="Aptos" w:hAnsi="Aptos" w:eastAsia="Aptos"/>
          <w:sz w:val="18"/>
        </w:rPr>
        <w:t>Use Check Status Now when the browser blocks or delays automatic polling.</w:t>
      </w:r>
    </w:p>
    <w:p>
      <w:pPr>
        <w:pStyle w:val="ListBullet"/>
        <w:spacing w:after="40"/>
      </w:pPr>
      <w:r>
        <w:rPr>
          <w:rFonts w:ascii="Aptos" w:hAnsi="Aptos" w:eastAsia="Aptos"/>
          <w:sz w:val="18"/>
        </w:rPr>
        <w:t>Do not submit the same prompt repeatedly while a job is still active.</w:t>
      </w:r>
    </w:p>
    <w:p>
      <w:pPr>
        <w:pStyle w:val="ListBullet"/>
        <w:spacing w:after="40"/>
      </w:pPr>
      <w:r>
        <w:rPr>
          <w:rFonts w:ascii="Aptos" w:hAnsi="Aptos" w:eastAsia="Aptos"/>
          <w:sz w:val="18"/>
        </w:rPr>
        <w:t>A timeout or degraded response should remain explicitly labeled.</w:t>
      </w:r>
    </w:p>
    <w:p>
      <w:r>
        <w:br w:type="page"/>
      </w:r>
    </w:p>
    <w:p>
      <w:pPr>
        <w:pStyle w:val="Heading1"/>
        <w:spacing w:before="0"/>
      </w:pPr>
      <w:r>
        <w:rPr>
          <w:rFonts w:ascii="Aptos Display" w:hAnsi="Aptos Display" w:eastAsia="Aptos Display"/>
          <w:b/>
          <w:color w:val="073B5C"/>
          <w:sz w:val="36"/>
        </w:rPr>
        <w:t>9. Reviewing and Exporting Agent Output</w:t>
      </w:r>
    </w:p>
    <w:p>
      <w:pPr>
        <w:spacing w:after="20"/>
        <w:jc w:val="center"/>
      </w:pPr>
      <w:r>
        <w:drawing>
          <wp:inline xmlns:a="http://schemas.openxmlformats.org/drawingml/2006/main" xmlns:pic="http://schemas.openxmlformats.org/drawingml/2006/picture">
            <wp:extent cx="6172200" cy="4440002"/>
            <wp:docPr id="9" name="Picture 9"/>
            <wp:cNvGraphicFramePr>
              <a:graphicFrameLocks noChangeAspect="1"/>
            </wp:cNvGraphicFramePr>
            <a:graphic>
              <a:graphicData uri="http://schemas.openxmlformats.org/drawingml/2006/picture">
                <pic:pic>
                  <pic:nvPicPr>
                    <pic:cNvPr id="0" name="agent_output.jpg"/>
                    <pic:cNvPicPr/>
                  </pic:nvPicPr>
                  <pic:blipFill>
                    <a:blip r:embed="rId18"/>
                    <a:stretch>
                      <a:fillRect/>
                    </a:stretch>
                  </pic:blipFill>
                  <pic:spPr>
                    <a:xfrm>
                      <a:off x="0" y="0"/>
                      <a:ext cx="6172200" cy="4440002"/>
                    </a:xfrm>
                    <a:prstGeom prst="rect"/>
                  </pic:spPr>
                </pic:pic>
              </a:graphicData>
            </a:graphic>
          </wp:inline>
        </w:drawing>
      </w:r>
    </w:p>
    <w:p>
      <w:pPr>
        <w:pStyle w:val="FigureCaption"/>
        <w:jc w:val="center"/>
      </w:pPr>
      <w:r>
        <w:t>Preserved live-model output with supported facts, assumptions, risks and runtime metadata.</w:t>
      </w:r>
    </w:p>
    <w:p>
      <w:pPr>
        <w:pStyle w:val="ListBullet"/>
        <w:spacing w:after="40"/>
      </w:pPr>
      <w:r>
        <w:rPr>
          <w:rFonts w:ascii="Aptos" w:hAnsi="Aptos" w:eastAsia="Aptos"/>
          <w:sz w:val="18"/>
        </w:rPr>
        <w:t>Confirm that Runtime shows LIVE LLM when a live model response is expected.</w:t>
      </w:r>
    </w:p>
    <w:p>
      <w:pPr>
        <w:pStyle w:val="ListBullet"/>
        <w:spacing w:after="40"/>
      </w:pPr>
      <w:r>
        <w:rPr>
          <w:rFonts w:ascii="Aptos" w:hAnsi="Aptos" w:eastAsia="Aptos"/>
          <w:sz w:val="18"/>
        </w:rPr>
        <w:t>Review the provider/model and confidence state.</w:t>
      </w:r>
    </w:p>
    <w:p>
      <w:pPr>
        <w:pStyle w:val="ListBullet"/>
        <w:spacing w:after="40"/>
      </w:pPr>
      <w:r>
        <w:rPr>
          <w:rFonts w:ascii="Aptos" w:hAnsi="Aptos" w:eastAsia="Aptos"/>
          <w:sz w:val="18"/>
        </w:rPr>
        <w:t>Confirm that source context is attached and that the response refers to the selected record.</w:t>
      </w:r>
    </w:p>
    <w:p>
      <w:pPr>
        <w:pStyle w:val="ListBullet"/>
        <w:spacing w:after="40"/>
      </w:pPr>
      <w:r>
        <w:rPr>
          <w:rFonts w:ascii="Aptos" w:hAnsi="Aptos" w:eastAsia="Aptos"/>
          <w:sz w:val="18"/>
        </w:rPr>
        <w:t>Separate supported facts from assumptions and inferences.</w:t>
      </w:r>
    </w:p>
    <w:p>
      <w:pPr>
        <w:pStyle w:val="ListBullet"/>
        <w:spacing w:after="40"/>
      </w:pPr>
      <w:r>
        <w:rPr>
          <w:rFonts w:ascii="Aptos" w:hAnsi="Aptos" w:eastAsia="Aptos"/>
          <w:sz w:val="18"/>
        </w:rPr>
        <w:t>Treat risks and recommended actions as decision-support suggestions requiring review.</w:t>
      </w:r>
    </w:p>
    <w:p>
      <w:pPr>
        <w:pStyle w:val="ListBullet"/>
        <w:spacing w:after="40"/>
      </w:pPr>
      <w:r>
        <w:rPr>
          <w:rFonts w:ascii="Aptos" w:hAnsi="Aptos" w:eastAsia="Aptos"/>
          <w:sz w:val="18"/>
        </w:rPr>
        <w:t>Use Copy, Download TXT, Download Word-Compatible DOCX, Download PDF or Print / Save PDF as needed.</w:t>
      </w:r>
    </w:p>
    <w:p>
      <w:pPr>
        <w:pStyle w:val="ListBullet"/>
        <w:spacing w:after="40"/>
      </w:pPr>
      <w:r>
        <w:rPr>
          <w:rFonts w:ascii="Aptos" w:hAnsi="Aptos" w:eastAsia="Aptos"/>
          <w:sz w:val="18"/>
        </w:rPr>
        <w:t>Export links may expire; preserved output remains associated with Agent Memory where configured.</w:t>
      </w:r>
    </w:p>
    <w:tbl>
      <w:tblPr>
        <w:tblW w:type="auto" w:w="0"/>
        <w:jc w:val="center"/>
        <w:tblLayout w:type="autofit"/>
        <w:tblLook w:firstColumn="1" w:firstRow="1" w:lastColumn="0" w:lastRow="0" w:noHBand="0" w:noVBand="1" w:val="04A0"/>
      </w:tblPr>
      <w:tblGrid>
        <w:gridCol w:w="10340"/>
      </w:tblGrid>
      <w:tr>
        <w:trPr>
          <w:cantSplit/>
        </w:trPr>
        <w:tc>
          <w:tcPr>
            <w:tcW w:type="dxa" w:w="10340"/>
            <w:shd w:fill="EAF7FB"/>
            <w:tcBorders>
              <w:top w:val="single" w:sz="2" w:color="EAF7FB"/>
              <w:left w:val="single" w:sz="18" w:color="00A6C8"/>
              <w:bottom w:val="single" w:sz="2" w:color="EAF7FB"/>
              <w:right w:val="single" w:sz="2" w:color="EAF7FB"/>
            </w:tcBorders>
            <w:tcMar>
              <w:top w:w="120" w:type="dxa"/>
              <w:start w:w="160" w:type="dxa"/>
              <w:bottom w:w="120" w:type="dxa"/>
              <w:end w:w="160" w:type="dxa"/>
            </w:tcMar>
          </w:tcPr>
          <w:p>
            <w:r>
              <w:rPr>
                <w:rFonts w:ascii="Aptos" w:hAnsi="Aptos" w:eastAsia="Aptos"/>
                <w:b/>
                <w:color w:val="073B5C"/>
                <w:sz w:val="20"/>
              </w:rPr>
              <w:t>No silent fallback</w:t>
            </w:r>
          </w:p>
          <w:p>
            <w:pPr>
              <w:spacing w:after="0"/>
            </w:pPr>
            <w:r>
              <w:rPr>
                <w:rFonts w:ascii="Aptos" w:hAnsi="Aptos" w:eastAsia="Aptos"/>
                <w:color w:val="0E2D3E"/>
                <w:sz w:val="18"/>
              </w:rPr>
              <w:t>When the configured model is unavailable, the Portal Engine is designed to produce a clearly labeled degraded/non-LLM response rather than disguising deterministic output as live AI analysis.</w:t>
            </w:r>
          </w:p>
        </w:tc>
      </w:tr>
    </w:tbl>
    <w:p>
      <w:pPr>
        <w:spacing w:after="0"/>
      </w:pPr>
    </w:p>
    <w:p>
      <w:r>
        <w:br w:type="page"/>
      </w:r>
    </w:p>
    <w:p>
      <w:pPr>
        <w:pStyle w:val="Heading1"/>
        <w:spacing w:before="0"/>
      </w:pPr>
      <w:r>
        <w:rPr>
          <w:rFonts w:ascii="Aptos Display" w:hAnsi="Aptos Display" w:eastAsia="Aptos Display"/>
          <w:b/>
          <w:color w:val="073B5C"/>
          <w:sz w:val="36"/>
        </w:rPr>
        <w:t>10. Global Intelligence Map</w:t>
      </w:r>
    </w:p>
    <w:p>
      <w:pPr>
        <w:spacing w:after="20"/>
        <w:jc w:val="center"/>
      </w:pPr>
      <w:r>
        <w:drawing>
          <wp:inline xmlns:a="http://schemas.openxmlformats.org/drawingml/2006/main" xmlns:pic="http://schemas.openxmlformats.org/drawingml/2006/picture">
            <wp:extent cx="6080760" cy="5155427"/>
            <wp:docPr id="10" name="Picture 10"/>
            <wp:cNvGraphicFramePr>
              <a:graphicFrameLocks noChangeAspect="1"/>
            </wp:cNvGraphicFramePr>
            <a:graphic>
              <a:graphicData uri="http://schemas.openxmlformats.org/drawingml/2006/picture">
                <pic:pic>
                  <pic:nvPicPr>
                    <pic:cNvPr id="0" name="global_map.jpg"/>
                    <pic:cNvPicPr/>
                  </pic:nvPicPr>
                  <pic:blipFill>
                    <a:blip r:embed="rId19"/>
                    <a:stretch>
                      <a:fillRect/>
                    </a:stretch>
                  </pic:blipFill>
                  <pic:spPr>
                    <a:xfrm>
                      <a:off x="0" y="0"/>
                      <a:ext cx="6080760" cy="5155427"/>
                    </a:xfrm>
                    <a:prstGeom prst="rect"/>
                  </pic:spPr>
                </pic:pic>
              </a:graphicData>
            </a:graphic>
          </wp:inline>
        </w:drawing>
      </w:r>
    </w:p>
    <w:p>
      <w:pPr>
        <w:pStyle w:val="FigureCaption"/>
        <w:jc w:val="center"/>
      </w:pPr>
      <w:r>
        <w:t>Global Intelligence Map with category filters and supplier records.</w:t>
      </w:r>
    </w:p>
    <w:p>
      <w:pPr>
        <w:pStyle w:val="ListNumber"/>
        <w:spacing w:after="40"/>
      </w:pPr>
      <w:r>
        <w:rPr>
          <w:rFonts w:ascii="Aptos" w:hAnsi="Aptos" w:eastAsia="Aptos"/>
          <w:sz w:val="18"/>
        </w:rPr>
        <w:t>Choose a category filter such as Projects, Deals, Incidents, Policy, Suppliers, Buyers, Shipping, Carbon or RFQs.</w:t>
      </w:r>
    </w:p>
    <w:p>
      <w:pPr>
        <w:pStyle w:val="ListNumber"/>
        <w:spacing w:after="40"/>
      </w:pPr>
      <w:r>
        <w:rPr>
          <w:rFonts w:ascii="Aptos" w:hAnsi="Aptos" w:eastAsia="Aptos"/>
          <w:sz w:val="18"/>
        </w:rPr>
        <w:t>Select a marker to review the location-linked record.</w:t>
      </w:r>
    </w:p>
    <w:p>
      <w:pPr>
        <w:pStyle w:val="ListNumber"/>
        <w:spacing w:after="40"/>
      </w:pPr>
      <w:r>
        <w:rPr>
          <w:rFonts w:ascii="Aptos" w:hAnsi="Aptos" w:eastAsia="Aptos"/>
          <w:sz w:val="18"/>
        </w:rPr>
        <w:t>Read the location-confidence language before treating a marker as an exact facility or project coordinate.</w:t>
      </w:r>
    </w:p>
    <w:p>
      <w:pPr>
        <w:pStyle w:val="ListNumber"/>
        <w:spacing w:after="40"/>
      </w:pPr>
      <w:r>
        <w:rPr>
          <w:rFonts w:ascii="Aptos" w:hAnsi="Aptos" w:eastAsia="Aptos"/>
          <w:sz w:val="18"/>
        </w:rPr>
        <w:t>Use the companion record cards or under-map directory for text navigation.</w:t>
      </w:r>
    </w:p>
    <w:p>
      <w:pPr>
        <w:pStyle w:val="ListNumber"/>
        <w:spacing w:after="40"/>
      </w:pPr>
      <w:r>
        <w:rPr>
          <w:rFonts w:ascii="Aptos" w:hAnsi="Aptos" w:eastAsia="Aptos"/>
          <w:sz w:val="18"/>
        </w:rPr>
        <w:t>Open the Map Manager Agent when classification, regulation, transport, compliance or RFQ analysis is needed.</w:t>
      </w:r>
    </w:p>
    <w:p>
      <w:pPr>
        <w:pStyle w:val="ListNumber"/>
        <w:spacing w:after="40"/>
      </w:pPr>
      <w:r>
        <w:rPr>
          <w:rFonts w:ascii="Aptos" w:hAnsi="Aptos" w:eastAsia="Aptos"/>
          <w:sz w:val="18"/>
        </w:rPr>
        <w:t>Open source links before making a commercial or operational decision.</w:t>
      </w:r>
    </w:p>
    <w:tbl>
      <w:tblPr>
        <w:tblW w:type="auto" w:w="0"/>
        <w:jc w:val="center"/>
        <w:tblLayout w:type="autofit"/>
        <w:tblLook w:firstColumn="1" w:firstRow="1" w:lastColumn="0" w:lastRow="0" w:noHBand="0" w:noVBand="1" w:val="04A0"/>
      </w:tblPr>
      <w:tblGrid>
        <w:gridCol w:w="10340"/>
      </w:tblGrid>
      <w:tr>
        <w:trPr>
          <w:cantSplit/>
        </w:trPr>
        <w:tc>
          <w:tcPr>
            <w:tcW w:type="dxa" w:w="10340"/>
            <w:shd w:fill="EAF7FB"/>
            <w:tcBorders>
              <w:top w:val="single" w:sz="2" w:color="EAF7FB"/>
              <w:left w:val="single" w:sz="18" w:color="00A6C8"/>
              <w:bottom w:val="single" w:sz="2" w:color="EAF7FB"/>
              <w:right w:val="single" w:sz="2" w:color="EAF7FB"/>
            </w:tcBorders>
            <w:tcMar>
              <w:top w:w="120" w:type="dxa"/>
              <w:start w:w="160" w:type="dxa"/>
              <w:bottom w:w="120" w:type="dxa"/>
              <w:end w:w="160" w:type="dxa"/>
            </w:tcMar>
          </w:tcPr>
          <w:p>
            <w:r>
              <w:rPr>
                <w:rFonts w:ascii="Aptos" w:hAnsi="Aptos" w:eastAsia="Aptos"/>
                <w:b/>
                <w:color w:val="073B5C"/>
                <w:sz w:val="20"/>
              </w:rPr>
              <w:t>Map caveat</w:t>
            </w:r>
          </w:p>
          <w:p>
            <w:pPr>
              <w:spacing w:after="0"/>
            </w:pPr>
            <w:r>
              <w:rPr>
                <w:rFonts w:ascii="Aptos" w:hAnsi="Aptos" w:eastAsia="Aptos"/>
                <w:color w:val="0E2D3E"/>
                <w:sz w:val="18"/>
              </w:rPr>
              <w:t>Headquarters and country-center fallbacks are useful for discovery but are not exact project coordinates. The Portal Engine should label the authority of each location.</w:t>
            </w:r>
          </w:p>
        </w:tc>
      </w:tr>
    </w:tbl>
    <w:p>
      <w:pPr>
        <w:spacing w:after="0"/>
      </w:pPr>
    </w:p>
    <w:p>
      <w:r>
        <w:br w:type="page"/>
      </w:r>
    </w:p>
    <w:p>
      <w:pPr>
        <w:pStyle w:val="Heading1"/>
        <w:spacing w:before="0"/>
      </w:pPr>
      <w:r>
        <w:rPr>
          <w:rFonts w:ascii="Aptos Display" w:hAnsi="Aptos Display" w:eastAsia="Aptos Display"/>
          <w:b/>
          <w:color w:val="073B5C"/>
          <w:sz w:val="36"/>
        </w:rPr>
        <w:t>11. Buyers, Suppliers, Sectors, and External Referrals</w:t>
      </w:r>
    </w:p>
    <w:tbl>
      <w:tblPr>
        <w:tblStyle w:val="TableGrid"/>
        <w:tblW w:type="auto" w:w="0"/>
        <w:jc w:val="center"/>
        <w:tblLook w:firstColumn="1" w:firstRow="1" w:lastColumn="0" w:lastRow="0" w:noHBand="0" w:noVBand="1" w:val="04A0"/>
      </w:tblPr>
      <w:tblGrid>
        <w:gridCol w:w="5170"/>
        <w:gridCol w:w="5170"/>
      </w:tblGrid>
      <w:tr>
        <w:trPr>
          <w:tblHeader w:val="true"/>
        </w:trPr>
        <w:tc>
          <w:tcPr>
            <w:tcW w:type="dxa" w:w="2592"/>
            <w:shd w:fill="073B5C"/>
            <w:tcMar>
              <w:top w:w="90" w:type="dxa"/>
              <w:start w:w="100" w:type="dxa"/>
              <w:bottom w:w="90" w:type="dxa"/>
              <w:end w:w="100" w:type="dxa"/>
            </w:tcMar>
          </w:tcPr>
          <w:p>
            <w:pPr>
              <w:jc w:val="left"/>
            </w:pPr>
            <w:r>
              <w:rPr>
                <w:rFonts w:ascii="Aptos" w:hAnsi="Aptos" w:eastAsia="Aptos"/>
                <w:b/>
                <w:color w:val="FFFFFF"/>
                <w:sz w:val="18"/>
              </w:rPr>
              <w:t>Area</w:t>
            </w:r>
          </w:p>
        </w:tc>
        <w:tc>
          <w:tcPr>
            <w:tcW w:type="dxa" w:w="7200"/>
            <w:shd w:fill="073B5C"/>
            <w:tcMar>
              <w:top w:w="90" w:type="dxa"/>
              <w:start w:w="100" w:type="dxa"/>
              <w:bottom w:w="90" w:type="dxa"/>
              <w:end w:w="100" w:type="dxa"/>
            </w:tcMar>
          </w:tcPr>
          <w:p>
            <w:pPr>
              <w:jc w:val="left"/>
            </w:pPr>
            <w:r>
              <w:rPr>
                <w:rFonts w:ascii="Aptos" w:hAnsi="Aptos" w:eastAsia="Aptos"/>
                <w:b/>
                <w:color w:val="FFFFFF"/>
                <w:sz w:val="18"/>
              </w:rPr>
              <w:t>How to Use It</w:t>
            </w:r>
          </w:p>
        </w:tc>
      </w:tr>
      <w:tr>
        <w:tc>
          <w:tcPr>
            <w:tcW w:type="dxa" w:w="2592"/>
            <w:tcMar>
              <w:top w:w="75" w:type="dxa"/>
              <w:start w:w="90" w:type="dxa"/>
              <w:bottom w:w="75" w:type="dxa"/>
              <w:end w:w="90" w:type="dxa"/>
            </w:tcMar>
            <w:vAlign w:val="top"/>
          </w:tcPr>
          <w:p>
            <w:r>
              <w:rPr>
                <w:rFonts w:ascii="Aptos" w:hAnsi="Aptos" w:eastAsia="Aptos"/>
                <w:color w:val="0E2D3E"/>
                <w:sz w:val="17"/>
              </w:rPr>
              <w:t>Buyers Directory</w:t>
            </w:r>
          </w:p>
        </w:tc>
        <w:tc>
          <w:tcPr>
            <w:tcW w:type="dxa" w:w="7200"/>
            <w:tcMar>
              <w:top w:w="75" w:type="dxa"/>
              <w:start w:w="90" w:type="dxa"/>
              <w:bottom w:w="75" w:type="dxa"/>
              <w:end w:w="90" w:type="dxa"/>
            </w:tcMar>
            <w:vAlign w:val="top"/>
          </w:tcPr>
          <w:p>
            <w:r>
              <w:rPr>
                <w:rFonts w:ascii="Aptos" w:hAnsi="Aptos" w:eastAsia="Aptos"/>
                <w:color w:val="0E2D3E"/>
                <w:sz w:val="17"/>
              </w:rPr>
              <w:t>Choose a sector, review buyer-side participants and open the relevant company or source record.</w:t>
            </w:r>
          </w:p>
        </w:tc>
      </w:tr>
      <w:tr>
        <w:tc>
          <w:tcPr>
            <w:tcW w:type="dxa" w:w="2592"/>
            <w:tcMar>
              <w:top w:w="75" w:type="dxa"/>
              <w:start w:w="90" w:type="dxa"/>
              <w:bottom w:w="75" w:type="dxa"/>
              <w:end w:w="90" w:type="dxa"/>
            </w:tcMar>
            <w:shd w:fill="F4FAFC"/>
            <w:vAlign w:val="top"/>
          </w:tcPr>
          <w:p>
            <w:r>
              <w:rPr>
                <w:rFonts w:ascii="Aptos" w:hAnsi="Aptos" w:eastAsia="Aptos"/>
                <w:color w:val="0E2D3E"/>
                <w:sz w:val="17"/>
              </w:rPr>
              <w:t>Suppliers Directory</w:t>
            </w:r>
          </w:p>
        </w:tc>
        <w:tc>
          <w:tcPr>
            <w:tcW w:type="dxa" w:w="7200"/>
            <w:tcMar>
              <w:top w:w="75" w:type="dxa"/>
              <w:start w:w="90" w:type="dxa"/>
              <w:bottom w:w="75" w:type="dxa"/>
              <w:end w:w="90" w:type="dxa"/>
            </w:tcMar>
            <w:shd w:fill="F4FAFC"/>
            <w:vAlign w:val="top"/>
          </w:tcPr>
          <w:p>
            <w:r>
              <w:rPr>
                <w:rFonts w:ascii="Aptos" w:hAnsi="Aptos" w:eastAsia="Aptos"/>
                <w:color w:val="0E2D3E"/>
                <w:sz w:val="17"/>
              </w:rPr>
              <w:t>Choose a sector, review supplier-side participants and open the relevant company or source record.</w:t>
            </w:r>
          </w:p>
        </w:tc>
      </w:tr>
      <w:tr>
        <w:tc>
          <w:tcPr>
            <w:tcW w:type="dxa" w:w="2592"/>
            <w:tcMar>
              <w:top w:w="75" w:type="dxa"/>
              <w:start w:w="90" w:type="dxa"/>
              <w:bottom w:w="75" w:type="dxa"/>
              <w:end w:w="90" w:type="dxa"/>
            </w:tcMar>
            <w:vAlign w:val="top"/>
          </w:tcPr>
          <w:p>
            <w:r>
              <w:rPr>
                <w:rFonts w:ascii="Aptos" w:hAnsi="Aptos" w:eastAsia="Aptos"/>
                <w:color w:val="0E2D3E"/>
                <w:sz w:val="17"/>
              </w:rPr>
              <w:t>Sector Directory</w:t>
            </w:r>
          </w:p>
        </w:tc>
        <w:tc>
          <w:tcPr>
            <w:tcW w:type="dxa" w:w="7200"/>
            <w:tcMar>
              <w:top w:w="75" w:type="dxa"/>
              <w:start w:w="90" w:type="dxa"/>
              <w:bottom w:w="75" w:type="dxa"/>
              <w:end w:w="90" w:type="dxa"/>
            </w:tcMar>
            <w:vAlign w:val="top"/>
          </w:tcPr>
          <w:p>
            <w:r>
              <w:rPr>
                <w:rFonts w:ascii="Aptos" w:hAnsi="Aptos" w:eastAsia="Aptos"/>
                <w:color w:val="0E2D3E"/>
                <w:sz w:val="17"/>
              </w:rPr>
              <w:t>Use the combined twenty-sector index, then select the buyer or supplier pathway.</w:t>
            </w:r>
          </w:p>
        </w:tc>
      </w:tr>
      <w:tr>
        <w:tc>
          <w:tcPr>
            <w:tcW w:type="dxa" w:w="2592"/>
            <w:tcMar>
              <w:top w:w="75" w:type="dxa"/>
              <w:start w:w="90" w:type="dxa"/>
              <w:bottom w:w="75" w:type="dxa"/>
              <w:end w:w="90" w:type="dxa"/>
            </w:tcMar>
            <w:shd w:fill="F4FAFC"/>
            <w:vAlign w:val="top"/>
          </w:tcPr>
          <w:p>
            <w:r>
              <w:rPr>
                <w:rFonts w:ascii="Aptos" w:hAnsi="Aptos" w:eastAsia="Aptos"/>
                <w:color w:val="0E2D3E"/>
                <w:sz w:val="17"/>
              </w:rPr>
              <w:t>Company links</w:t>
            </w:r>
          </w:p>
        </w:tc>
        <w:tc>
          <w:tcPr>
            <w:tcW w:type="dxa" w:w="7200"/>
            <w:tcMar>
              <w:top w:w="75" w:type="dxa"/>
              <w:start w:w="90" w:type="dxa"/>
              <w:bottom w:w="75" w:type="dxa"/>
              <w:end w:w="90" w:type="dxa"/>
            </w:tcMar>
            <w:shd w:fill="F4FAFC"/>
            <w:vAlign w:val="top"/>
          </w:tcPr>
          <w:p>
            <w:r>
              <w:rPr>
                <w:rFonts w:ascii="Aptos" w:hAnsi="Aptos" w:eastAsia="Aptos"/>
                <w:color w:val="0E2D3E"/>
                <w:sz w:val="17"/>
              </w:rPr>
              <w:t>Tracked referral links should open the intended external company destination rather than WordPress admin or login.</w:t>
            </w:r>
          </w:p>
        </w:tc>
      </w:tr>
      <w:tr>
        <w:tc>
          <w:tcPr>
            <w:tcW w:type="dxa" w:w="2592"/>
            <w:tcMar>
              <w:top w:w="75" w:type="dxa"/>
              <w:start w:w="90" w:type="dxa"/>
              <w:bottom w:w="75" w:type="dxa"/>
              <w:end w:w="90" w:type="dxa"/>
            </w:tcMar>
            <w:vAlign w:val="top"/>
          </w:tcPr>
          <w:p>
            <w:r>
              <w:rPr>
                <w:rFonts w:ascii="Aptos" w:hAnsi="Aptos" w:eastAsia="Aptos"/>
                <w:color w:val="0E2D3E"/>
                <w:sz w:val="17"/>
              </w:rPr>
              <w:t>Source links</w:t>
            </w:r>
          </w:p>
        </w:tc>
        <w:tc>
          <w:tcPr>
            <w:tcW w:type="dxa" w:w="7200"/>
            <w:tcMar>
              <w:top w:w="75" w:type="dxa"/>
              <w:start w:w="90" w:type="dxa"/>
              <w:bottom w:w="75" w:type="dxa"/>
              <w:end w:w="90" w:type="dxa"/>
            </w:tcMar>
            <w:vAlign w:val="top"/>
          </w:tcPr>
          <w:p>
            <w:r>
              <w:rPr>
                <w:rFonts w:ascii="Aptos" w:hAnsi="Aptos" w:eastAsia="Aptos"/>
                <w:color w:val="0E2D3E"/>
                <w:sz w:val="17"/>
              </w:rPr>
              <w:t>Use source links to verify the basis of a listing.</w:t>
            </w:r>
          </w:p>
        </w:tc>
      </w:tr>
      <w:tr>
        <w:tc>
          <w:tcPr>
            <w:tcW w:type="dxa" w:w="2592"/>
            <w:tcMar>
              <w:top w:w="75" w:type="dxa"/>
              <w:start w:w="90" w:type="dxa"/>
              <w:bottom w:w="75" w:type="dxa"/>
              <w:end w:w="90" w:type="dxa"/>
            </w:tcMar>
            <w:shd w:fill="F4FAFC"/>
            <w:vAlign w:val="top"/>
          </w:tcPr>
          <w:p>
            <w:r>
              <w:rPr>
                <w:rFonts w:ascii="Aptos" w:hAnsi="Aptos" w:eastAsia="Aptos"/>
                <w:color w:val="0E2D3E"/>
                <w:sz w:val="17"/>
              </w:rPr>
              <w:t>Status language</w:t>
            </w:r>
          </w:p>
        </w:tc>
        <w:tc>
          <w:tcPr>
            <w:tcW w:type="dxa" w:w="7200"/>
            <w:tcMar>
              <w:top w:w="75" w:type="dxa"/>
              <w:start w:w="90" w:type="dxa"/>
              <w:bottom w:w="75" w:type="dxa"/>
              <w:end w:w="90" w:type="dxa"/>
            </w:tcMar>
            <w:shd w:fill="F4FAFC"/>
            <w:vAlign w:val="top"/>
          </w:tcPr>
          <w:p>
            <w:r>
              <w:rPr>
                <w:rFonts w:ascii="Aptos" w:hAnsi="Aptos" w:eastAsia="Aptos"/>
                <w:color w:val="0E2D3E"/>
                <w:sz w:val="17"/>
              </w:rPr>
              <w:t>Do not interpret a listing as verified, approved or an official partnership unless explicitly stated.</w:t>
            </w:r>
          </w:p>
        </w:tc>
      </w:tr>
    </w:tbl>
    <w:p>
      <w:pPr>
        <w:spacing w:after="20"/>
      </w:pPr>
    </w:p>
    <w:p>
      <w:r>
        <w:rPr>
          <w:rFonts w:ascii="Aptos" w:hAnsi="Aptos" w:eastAsia="Aptos"/>
        </w:rPr>
        <w:t>The sector framework includes twenty recurring categories:</w:t>
      </w:r>
    </w:p>
    <w:p>
      <w:pPr>
        <w:pStyle w:val="ListBullet"/>
        <w:spacing w:after="40"/>
      </w:pPr>
      <w:r>
        <w:rPr>
          <w:rFonts w:ascii="Aptos" w:hAnsi="Aptos" w:eastAsia="Aptos"/>
          <w:sz w:val="18"/>
        </w:rPr>
        <w:t>Producers, hydrogen companies, energy companies, ports, shipping, marine fuels, fertilizer and chemical manufacturing.</w:t>
      </w:r>
    </w:p>
    <w:p>
      <w:pPr>
        <w:pStyle w:val="ListBullet"/>
        <w:spacing w:after="40"/>
      </w:pPr>
      <w:r>
        <w:rPr>
          <w:rFonts w:ascii="Aptos" w:hAnsi="Aptos" w:eastAsia="Aptos"/>
          <w:sz w:val="18"/>
        </w:rPr>
        <w:t>EPC contractors, technology providers, equipment manufacturers, storage providers, pipeline operators, utilities, mining and steel.</w:t>
      </w:r>
    </w:p>
    <w:p>
      <w:pPr>
        <w:pStyle w:val="ListBullet"/>
        <w:spacing w:after="40"/>
      </w:pPr>
      <w:r>
        <w:rPr>
          <w:rFonts w:ascii="Aptos" w:hAnsi="Aptos" w:eastAsia="Aptos"/>
          <w:sz w:val="18"/>
        </w:rPr>
        <w:t>Certification organizations, financial institutions, government services and industry associations.</w:t>
      </w:r>
    </w:p>
    <w:p>
      <w:r>
        <w:br w:type="page"/>
      </w:r>
    </w:p>
    <w:p>
      <w:pPr>
        <w:pStyle w:val="Heading1"/>
        <w:spacing w:before="0"/>
      </w:pPr>
      <w:r>
        <w:rPr>
          <w:rFonts w:ascii="Aptos Display" w:hAnsi="Aptos Display" w:eastAsia="Aptos Display"/>
          <w:b/>
          <w:color w:val="073B5C"/>
          <w:sz w:val="36"/>
        </w:rPr>
        <w:t>12. RFQ and Introduction Workflows</w:t>
      </w:r>
    </w:p>
    <w:p>
      <w:r>
        <w:rPr>
          <w:rFonts w:ascii="Aptos" w:hAnsi="Aptos" w:eastAsia="Aptos"/>
        </w:rPr>
        <w:t>RFQ and introduction pathways turn directory or intelligence discovery into a controlled request. They are suitable for supplier discovery, buyer demand, project participation, technology questions, logistics needs and strategic introductions.</w:t>
      </w:r>
    </w:p>
    <w:p>
      <w:pPr>
        <w:pStyle w:val="ListNumber"/>
        <w:spacing w:after="40"/>
      </w:pPr>
      <w:r>
        <w:rPr>
          <w:rFonts w:ascii="Aptos" w:hAnsi="Aptos" w:eastAsia="Aptos"/>
          <w:sz w:val="18"/>
        </w:rPr>
        <w:t>Choose RFQ &amp; Introductions from the homepage, member dashboard, map or related record.</w:t>
      </w:r>
    </w:p>
    <w:p>
      <w:pPr>
        <w:pStyle w:val="ListNumber"/>
        <w:spacing w:after="40"/>
      </w:pPr>
      <w:r>
        <w:rPr>
          <w:rFonts w:ascii="Aptos" w:hAnsi="Aptos" w:eastAsia="Aptos"/>
          <w:sz w:val="18"/>
        </w:rPr>
        <w:t>Provide company, role, contact information, sector, geography, need, timeline and relevant source context.</w:t>
      </w:r>
    </w:p>
    <w:p>
      <w:pPr>
        <w:pStyle w:val="ListNumber"/>
        <w:spacing w:after="40"/>
      </w:pPr>
      <w:r>
        <w:rPr>
          <w:rFonts w:ascii="Aptos" w:hAnsi="Aptos" w:eastAsia="Aptos"/>
          <w:sz w:val="18"/>
        </w:rPr>
        <w:t>Avoid including confidential information that is not necessary for initial review.</w:t>
      </w:r>
    </w:p>
    <w:p>
      <w:pPr>
        <w:pStyle w:val="ListNumber"/>
        <w:spacing w:after="40"/>
      </w:pPr>
      <w:r>
        <w:rPr>
          <w:rFonts w:ascii="Aptos" w:hAnsi="Aptos" w:eastAsia="Aptos"/>
          <w:sz w:val="18"/>
        </w:rPr>
        <w:t>Submit the request for operator review.</w:t>
      </w:r>
    </w:p>
    <w:p>
      <w:pPr>
        <w:pStyle w:val="ListNumber"/>
        <w:spacing w:after="40"/>
      </w:pPr>
      <w:r>
        <w:rPr>
          <w:rFonts w:ascii="Aptos" w:hAnsi="Aptos" w:eastAsia="Aptos"/>
          <w:sz w:val="18"/>
        </w:rPr>
        <w:t>Wait for Blue Ammonia to confirm whether an introduction, clarification or additional information is appropriate.</w:t>
      </w:r>
    </w:p>
    <w:tbl>
      <w:tblPr>
        <w:tblW w:type="auto" w:w="0"/>
        <w:jc w:val="center"/>
        <w:tblLayout w:type="autofit"/>
        <w:tblLook w:firstColumn="1" w:firstRow="1" w:lastColumn="0" w:lastRow="0" w:noHBand="0" w:noVBand="1" w:val="04A0"/>
      </w:tblPr>
      <w:tblGrid>
        <w:gridCol w:w="10340"/>
      </w:tblGrid>
      <w:tr>
        <w:trPr>
          <w:cantSplit/>
        </w:trPr>
        <w:tc>
          <w:tcPr>
            <w:tcW w:type="dxa" w:w="10340"/>
            <w:shd w:fill="EAF7FB"/>
            <w:tcBorders>
              <w:top w:val="single" w:sz="2" w:color="EAF7FB"/>
              <w:left w:val="single" w:sz="18" w:color="00A6C8"/>
              <w:bottom w:val="single" w:sz="2" w:color="EAF7FB"/>
              <w:right w:val="single" w:sz="2" w:color="EAF7FB"/>
            </w:tcBorders>
            <w:tcMar>
              <w:top w:w="120" w:type="dxa"/>
              <w:start w:w="160" w:type="dxa"/>
              <w:bottom w:w="120" w:type="dxa"/>
              <w:end w:w="160" w:type="dxa"/>
            </w:tcMar>
          </w:tcPr>
          <w:p>
            <w:r>
              <w:rPr>
                <w:rFonts w:ascii="Aptos" w:hAnsi="Aptos" w:eastAsia="Aptos"/>
                <w:b/>
                <w:color w:val="073B5C"/>
                <w:sz w:val="20"/>
              </w:rPr>
              <w:t>No implied representation</w:t>
            </w:r>
          </w:p>
          <w:p>
            <w:pPr>
              <w:spacing w:after="0"/>
            </w:pPr>
            <w:r>
              <w:rPr>
                <w:rFonts w:ascii="Aptos" w:hAnsi="Aptos" w:eastAsia="Aptos"/>
                <w:color w:val="0E2D3E"/>
                <w:sz w:val="18"/>
              </w:rPr>
              <w:t>Submitting an RFQ does not mean Blue Ammonia represents a listed buyer or supplier, guarantees a response, verifies a counterparty or confirms a transaction.</w:t>
            </w:r>
          </w:p>
        </w:tc>
      </w:tr>
    </w:tbl>
    <w:p>
      <w:pPr>
        <w:spacing w:after="0"/>
      </w:pPr>
    </w:p>
    <w:p>
      <w:r>
        <w:br w:type="page"/>
      </w:r>
    </w:p>
    <w:p>
      <w:pPr>
        <w:pStyle w:val="Heading1"/>
        <w:spacing w:before="0"/>
      </w:pPr>
      <w:r>
        <w:rPr>
          <w:rFonts w:ascii="Aptos Display" w:hAnsi="Aptos Display" w:eastAsia="Aptos Display"/>
          <w:b/>
          <w:color w:val="073B5C"/>
          <w:sz w:val="36"/>
        </w:rPr>
        <w:t>13. Jobs Board and Job Submission</w:t>
      </w:r>
    </w:p>
    <w:p>
      <w:r>
        <w:rPr>
          <w:rFonts w:ascii="Aptos" w:hAnsi="Aptos" w:eastAsia="Aptos"/>
        </w:rPr>
        <w:t>The Jobs Board provides brand-aligned employment visibility for blue ammonia, low-carbon ammonia, hydrogen, CCUS, shipping, storage, engineering, project development, intelligence and compliance roles.</w:t>
      </w:r>
    </w:p>
    <w:tbl>
      <w:tblPr>
        <w:tblStyle w:val="TableGrid"/>
        <w:tblW w:type="auto" w:w="0"/>
        <w:jc w:val="center"/>
        <w:tblLook w:firstColumn="1" w:firstRow="1" w:lastColumn="0" w:lastRow="0" w:noHBand="0" w:noVBand="1" w:val="04A0"/>
      </w:tblPr>
      <w:tblGrid>
        <w:gridCol w:w="5170"/>
        <w:gridCol w:w="5170"/>
      </w:tblGrid>
      <w:tr>
        <w:trPr>
          <w:tblHeader w:val="true"/>
        </w:trPr>
        <w:tc>
          <w:tcPr>
            <w:tcW w:type="dxa" w:w="2592"/>
            <w:shd w:fill="073B5C"/>
            <w:tcMar>
              <w:top w:w="90" w:type="dxa"/>
              <w:start w:w="100" w:type="dxa"/>
              <w:bottom w:w="90" w:type="dxa"/>
              <w:end w:w="100" w:type="dxa"/>
            </w:tcMar>
          </w:tcPr>
          <w:p>
            <w:pPr>
              <w:jc w:val="left"/>
            </w:pPr>
            <w:r>
              <w:rPr>
                <w:rFonts w:ascii="Aptos" w:hAnsi="Aptos" w:eastAsia="Aptos"/>
                <w:b/>
                <w:color w:val="FFFFFF"/>
                <w:sz w:val="18"/>
              </w:rPr>
              <w:t>Route / Function</w:t>
            </w:r>
          </w:p>
        </w:tc>
        <w:tc>
          <w:tcPr>
            <w:tcW w:type="dxa" w:w="7200"/>
            <w:shd w:fill="073B5C"/>
            <w:tcMar>
              <w:top w:w="90" w:type="dxa"/>
              <w:start w:w="100" w:type="dxa"/>
              <w:bottom w:w="90" w:type="dxa"/>
              <w:end w:w="100" w:type="dxa"/>
            </w:tcMar>
          </w:tcPr>
          <w:p>
            <w:pPr>
              <w:jc w:val="left"/>
            </w:pPr>
            <w:r>
              <w:rPr>
                <w:rFonts w:ascii="Aptos" w:hAnsi="Aptos" w:eastAsia="Aptos"/>
                <w:b/>
                <w:color w:val="FFFFFF"/>
                <w:sz w:val="18"/>
              </w:rPr>
              <w:t>Purpose</w:t>
            </w:r>
          </w:p>
        </w:tc>
      </w:tr>
      <w:tr>
        <w:tc>
          <w:tcPr>
            <w:tcW w:type="dxa" w:w="2592"/>
            <w:tcMar>
              <w:top w:w="75" w:type="dxa"/>
              <w:start w:w="90" w:type="dxa"/>
              <w:bottom w:w="75" w:type="dxa"/>
              <w:end w:w="90" w:type="dxa"/>
            </w:tcMar>
            <w:vAlign w:val="top"/>
          </w:tcPr>
          <w:p>
            <w:r>
              <w:rPr>
                <w:rFonts w:ascii="Aptos" w:hAnsi="Aptos" w:eastAsia="Aptos"/>
                <w:color w:val="0E2D3E"/>
                <w:sz w:val="17"/>
              </w:rPr>
              <w:t>Jobs Board</w:t>
            </w:r>
          </w:p>
        </w:tc>
        <w:tc>
          <w:tcPr>
            <w:tcW w:type="dxa" w:w="7200"/>
            <w:tcMar>
              <w:top w:w="75" w:type="dxa"/>
              <w:start w:w="90" w:type="dxa"/>
              <w:bottom w:w="75" w:type="dxa"/>
              <w:end w:w="90" w:type="dxa"/>
            </w:tcMar>
            <w:vAlign w:val="top"/>
          </w:tcPr>
          <w:p>
            <w:r>
              <w:rPr>
                <w:rFonts w:ascii="Aptos" w:hAnsi="Aptos" w:eastAsia="Aptos"/>
                <w:color w:val="0E2D3E"/>
                <w:sz w:val="17"/>
              </w:rPr>
              <w:t>Public or preview listing page for curated and paid jobs.</w:t>
            </w:r>
          </w:p>
        </w:tc>
      </w:tr>
      <w:tr>
        <w:tc>
          <w:tcPr>
            <w:tcW w:type="dxa" w:w="2592"/>
            <w:tcMar>
              <w:top w:w="75" w:type="dxa"/>
              <w:start w:w="90" w:type="dxa"/>
              <w:bottom w:w="75" w:type="dxa"/>
              <w:end w:w="90" w:type="dxa"/>
            </w:tcMar>
            <w:shd w:fill="F4FAFC"/>
            <w:vAlign w:val="top"/>
          </w:tcPr>
          <w:p>
            <w:r>
              <w:rPr>
                <w:rFonts w:ascii="Aptos" w:hAnsi="Aptos" w:eastAsia="Aptos"/>
                <w:color w:val="0E2D3E"/>
                <w:sz w:val="17"/>
              </w:rPr>
              <w:t>Submit Job</w:t>
            </w:r>
          </w:p>
        </w:tc>
        <w:tc>
          <w:tcPr>
            <w:tcW w:type="dxa" w:w="7200"/>
            <w:tcMar>
              <w:top w:w="75" w:type="dxa"/>
              <w:start w:w="90" w:type="dxa"/>
              <w:bottom w:w="75" w:type="dxa"/>
              <w:end w:w="90" w:type="dxa"/>
            </w:tcMar>
            <w:shd w:fill="F4FAFC"/>
            <w:vAlign w:val="top"/>
          </w:tcPr>
          <w:p>
            <w:r>
              <w:rPr>
                <w:rFonts w:ascii="Aptos" w:hAnsi="Aptos" w:eastAsia="Aptos"/>
                <w:color w:val="0E2D3E"/>
                <w:sz w:val="17"/>
              </w:rPr>
              <w:t>Front-end form for employers, companies or recruiters.</w:t>
            </w:r>
          </w:p>
        </w:tc>
      </w:tr>
      <w:tr>
        <w:tc>
          <w:tcPr>
            <w:tcW w:type="dxa" w:w="2592"/>
            <w:tcMar>
              <w:top w:w="75" w:type="dxa"/>
              <w:start w:w="90" w:type="dxa"/>
              <w:bottom w:w="75" w:type="dxa"/>
              <w:end w:w="90" w:type="dxa"/>
            </w:tcMar>
            <w:vAlign w:val="top"/>
          </w:tcPr>
          <w:p>
            <w:r>
              <w:rPr>
                <w:rFonts w:ascii="Aptos" w:hAnsi="Aptos" w:eastAsia="Aptos"/>
                <w:color w:val="0E2D3E"/>
                <w:sz w:val="17"/>
              </w:rPr>
              <w:t>Job Pricing</w:t>
            </w:r>
          </w:p>
        </w:tc>
        <w:tc>
          <w:tcPr>
            <w:tcW w:type="dxa" w:w="7200"/>
            <w:tcMar>
              <w:top w:w="75" w:type="dxa"/>
              <w:start w:w="90" w:type="dxa"/>
              <w:bottom w:w="75" w:type="dxa"/>
              <w:end w:w="90" w:type="dxa"/>
            </w:tcMar>
            <w:vAlign w:val="top"/>
          </w:tcPr>
          <w:p>
            <w:r>
              <w:rPr>
                <w:rFonts w:ascii="Aptos" w:hAnsi="Aptos" w:eastAsia="Aptos"/>
                <w:color w:val="0E2D3E"/>
                <w:sz w:val="17"/>
              </w:rPr>
              <w:t>Standard and featured placement options.</w:t>
            </w:r>
          </w:p>
        </w:tc>
      </w:tr>
      <w:tr>
        <w:tc>
          <w:tcPr>
            <w:tcW w:type="dxa" w:w="2592"/>
            <w:tcMar>
              <w:top w:w="75" w:type="dxa"/>
              <w:start w:w="90" w:type="dxa"/>
              <w:bottom w:w="75" w:type="dxa"/>
              <w:end w:w="90" w:type="dxa"/>
            </w:tcMar>
            <w:shd w:fill="F4FAFC"/>
            <w:vAlign w:val="top"/>
          </w:tcPr>
          <w:p>
            <w:r>
              <w:rPr>
                <w:rFonts w:ascii="Aptos" w:hAnsi="Aptos" w:eastAsia="Aptos"/>
                <w:color w:val="0E2D3E"/>
                <w:sz w:val="17"/>
              </w:rPr>
              <w:t>Review workflow</w:t>
            </w:r>
          </w:p>
        </w:tc>
        <w:tc>
          <w:tcPr>
            <w:tcW w:type="dxa" w:w="7200"/>
            <w:tcMar>
              <w:top w:w="75" w:type="dxa"/>
              <w:start w:w="90" w:type="dxa"/>
              <w:bottom w:w="75" w:type="dxa"/>
              <w:end w:w="90" w:type="dxa"/>
            </w:tcMar>
            <w:shd w:fill="F4FAFC"/>
            <w:vAlign w:val="top"/>
          </w:tcPr>
          <w:p>
            <w:r>
              <w:rPr>
                <w:rFonts w:ascii="Aptos" w:hAnsi="Aptos" w:eastAsia="Aptos"/>
                <w:color w:val="0E2D3E"/>
                <w:sz w:val="17"/>
              </w:rPr>
              <w:t>Submitted jobs remain subject to operator review before publication.</w:t>
            </w:r>
          </w:p>
        </w:tc>
      </w:tr>
      <w:tr>
        <w:tc>
          <w:tcPr>
            <w:tcW w:type="dxa" w:w="2592"/>
            <w:tcMar>
              <w:top w:w="75" w:type="dxa"/>
              <w:start w:w="90" w:type="dxa"/>
              <w:bottom w:w="75" w:type="dxa"/>
              <w:end w:w="90" w:type="dxa"/>
            </w:tcMar>
            <w:vAlign w:val="top"/>
          </w:tcPr>
          <w:p>
            <w:r>
              <w:rPr>
                <w:rFonts w:ascii="Aptos" w:hAnsi="Aptos" w:eastAsia="Aptos"/>
                <w:color w:val="0E2D3E"/>
                <w:sz w:val="17"/>
              </w:rPr>
              <w:t>Expiration</w:t>
            </w:r>
          </w:p>
        </w:tc>
        <w:tc>
          <w:tcPr>
            <w:tcW w:type="dxa" w:w="7200"/>
            <w:tcMar>
              <w:top w:w="75" w:type="dxa"/>
              <w:start w:w="90" w:type="dxa"/>
              <w:bottom w:w="75" w:type="dxa"/>
              <w:end w:w="90" w:type="dxa"/>
            </w:tcMar>
            <w:vAlign w:val="top"/>
          </w:tcPr>
          <w:p>
            <w:r>
              <w:rPr>
                <w:rFonts w:ascii="Aptos" w:hAnsi="Aptos" w:eastAsia="Aptos"/>
                <w:color w:val="0E2D3E"/>
                <w:sz w:val="17"/>
              </w:rPr>
              <w:t>Listings can have a configured display period and automatic expiration.</w:t>
            </w:r>
          </w:p>
        </w:tc>
      </w:tr>
      <w:tr>
        <w:tc>
          <w:tcPr>
            <w:tcW w:type="dxa" w:w="2592"/>
            <w:tcMar>
              <w:top w:w="75" w:type="dxa"/>
              <w:start w:w="90" w:type="dxa"/>
              <w:bottom w:w="75" w:type="dxa"/>
              <w:end w:w="90" w:type="dxa"/>
            </w:tcMar>
            <w:shd w:fill="F4FAFC"/>
            <w:vAlign w:val="top"/>
          </w:tcPr>
          <w:p>
            <w:r>
              <w:rPr>
                <w:rFonts w:ascii="Aptos" w:hAnsi="Aptos" w:eastAsia="Aptos"/>
                <w:color w:val="0E2D3E"/>
                <w:sz w:val="17"/>
              </w:rPr>
              <w:t>Source / employer caveat</w:t>
            </w:r>
          </w:p>
        </w:tc>
        <w:tc>
          <w:tcPr>
            <w:tcW w:type="dxa" w:w="7200"/>
            <w:tcMar>
              <w:top w:w="75" w:type="dxa"/>
              <w:start w:w="90" w:type="dxa"/>
              <w:bottom w:w="75" w:type="dxa"/>
              <w:end w:w="90" w:type="dxa"/>
            </w:tcMar>
            <w:shd w:fill="F4FAFC"/>
            <w:vAlign w:val="top"/>
          </w:tcPr>
          <w:p>
            <w:r>
              <w:rPr>
                <w:rFonts w:ascii="Aptos" w:hAnsi="Aptos" w:eastAsia="Aptos"/>
                <w:color w:val="0E2D3E"/>
                <w:sz w:val="17"/>
              </w:rPr>
              <w:t>Curated listings retain a source URL and do not imply employer endorsement.</w:t>
            </w:r>
          </w:p>
        </w:tc>
      </w:tr>
    </w:tbl>
    <w:p>
      <w:pPr>
        <w:spacing w:after="20"/>
      </w:pPr>
    </w:p>
    <w:p>
      <w:r>
        <w:rPr>
          <w:rFonts w:ascii="Aptos" w:hAnsi="Aptos" w:eastAsia="Aptos"/>
        </w:rPr>
        <w:t>Historical configurable defaults are $299 for a standard 30-day post and $449 for a featured 30-day post. The live price shown on the portal controls.</w:t>
      </w:r>
    </w:p>
    <w:p>
      <w:r>
        <w:br w:type="page"/>
      </w:r>
    </w:p>
    <w:p>
      <w:pPr>
        <w:pStyle w:val="Heading1"/>
        <w:spacing w:before="0"/>
      </w:pPr>
      <w:r>
        <w:rPr>
          <w:rFonts w:ascii="Aptos Display" w:hAnsi="Aptos Display" w:eastAsia="Aptos Display"/>
          <w:b/>
          <w:color w:val="073B5C"/>
          <w:sz w:val="36"/>
        </w:rPr>
        <w:t>14. Notification Agent and Notification Center</w:t>
      </w:r>
    </w:p>
    <w:p>
      <w:r>
        <w:rPr>
          <w:rFonts w:ascii="Aptos" w:hAnsi="Aptos" w:eastAsia="Aptos"/>
        </w:rPr>
        <w:t>The Notification Agent is a subscriber service for creating monitoring rules from Portal Engine signals. The Notification Center stores generated briefs and allows users to review alerts in the context of the portal rather than receiving isolated, context-free messages.</w:t>
      </w:r>
    </w:p>
    <w:tbl>
      <w:tblPr>
        <w:tblStyle w:val="TableGrid"/>
        <w:tblW w:type="auto" w:w="0"/>
        <w:jc w:val="center"/>
        <w:tblLook w:firstColumn="1" w:firstRow="1" w:lastColumn="0" w:lastRow="0" w:noHBand="0" w:noVBand="1" w:val="04A0"/>
      </w:tblPr>
      <w:tblGrid>
        <w:gridCol w:w="5170"/>
        <w:gridCol w:w="5170"/>
      </w:tblGrid>
      <w:tr>
        <w:trPr>
          <w:tblHeader w:val="true"/>
        </w:trPr>
        <w:tc>
          <w:tcPr>
            <w:tcW w:type="dxa" w:w="2592"/>
            <w:shd w:fill="073B5C"/>
            <w:tcMar>
              <w:top w:w="90" w:type="dxa"/>
              <w:start w:w="100" w:type="dxa"/>
              <w:bottom w:w="90" w:type="dxa"/>
              <w:end w:w="100" w:type="dxa"/>
            </w:tcMar>
          </w:tcPr>
          <w:p>
            <w:pPr>
              <w:jc w:val="left"/>
            </w:pPr>
            <w:r>
              <w:rPr>
                <w:rFonts w:ascii="Aptos" w:hAnsi="Aptos" w:eastAsia="Aptos"/>
                <w:b/>
                <w:color w:val="FFFFFF"/>
                <w:sz w:val="18"/>
              </w:rPr>
              <w:t>Function</w:t>
            </w:r>
          </w:p>
        </w:tc>
        <w:tc>
          <w:tcPr>
            <w:tcW w:type="dxa" w:w="7200"/>
            <w:shd w:fill="073B5C"/>
            <w:tcMar>
              <w:top w:w="90" w:type="dxa"/>
              <w:start w:w="100" w:type="dxa"/>
              <w:bottom w:w="90" w:type="dxa"/>
              <w:end w:w="100" w:type="dxa"/>
            </w:tcMar>
          </w:tcPr>
          <w:p>
            <w:pPr>
              <w:jc w:val="left"/>
            </w:pPr>
            <w:r>
              <w:rPr>
                <w:rFonts w:ascii="Aptos" w:hAnsi="Aptos" w:eastAsia="Aptos"/>
                <w:b/>
                <w:color w:val="FFFFFF"/>
                <w:sz w:val="18"/>
              </w:rPr>
              <w:t>Use</w:t>
            </w:r>
          </w:p>
        </w:tc>
      </w:tr>
      <w:tr>
        <w:tc>
          <w:tcPr>
            <w:tcW w:type="dxa" w:w="2592"/>
            <w:tcMar>
              <w:top w:w="75" w:type="dxa"/>
              <w:start w:w="90" w:type="dxa"/>
              <w:bottom w:w="75" w:type="dxa"/>
              <w:end w:w="90" w:type="dxa"/>
            </w:tcMar>
            <w:vAlign w:val="top"/>
          </w:tcPr>
          <w:p>
            <w:r>
              <w:rPr>
                <w:rFonts w:ascii="Aptos" w:hAnsi="Aptos" w:eastAsia="Aptos"/>
                <w:color w:val="0E2D3E"/>
                <w:sz w:val="17"/>
              </w:rPr>
              <w:t>Rule creation</w:t>
            </w:r>
          </w:p>
        </w:tc>
        <w:tc>
          <w:tcPr>
            <w:tcW w:type="dxa" w:w="7200"/>
            <w:tcMar>
              <w:top w:w="75" w:type="dxa"/>
              <w:start w:w="90" w:type="dxa"/>
              <w:bottom w:w="75" w:type="dxa"/>
              <w:end w:w="90" w:type="dxa"/>
            </w:tcMar>
            <w:vAlign w:val="top"/>
          </w:tcPr>
          <w:p>
            <w:r>
              <w:rPr>
                <w:rFonts w:ascii="Aptos" w:hAnsi="Aptos" w:eastAsia="Aptos"/>
                <w:color w:val="0E2D3E"/>
                <w:sz w:val="17"/>
              </w:rPr>
              <w:t>Define companies, projects, sectors, policy, shipping, prices, RFQs, keywords or event types to monitor.</w:t>
            </w:r>
          </w:p>
        </w:tc>
      </w:tr>
      <w:tr>
        <w:tc>
          <w:tcPr>
            <w:tcW w:type="dxa" w:w="2592"/>
            <w:tcMar>
              <w:top w:w="75" w:type="dxa"/>
              <w:start w:w="90" w:type="dxa"/>
              <w:bottom w:w="75" w:type="dxa"/>
              <w:end w:w="90" w:type="dxa"/>
            </w:tcMar>
            <w:shd w:fill="F4FAFC"/>
            <w:vAlign w:val="top"/>
          </w:tcPr>
          <w:p>
            <w:r>
              <w:rPr>
                <w:rFonts w:ascii="Aptos" w:hAnsi="Aptos" w:eastAsia="Aptos"/>
                <w:color w:val="0E2D3E"/>
                <w:sz w:val="17"/>
              </w:rPr>
              <w:t>Frequency</w:t>
            </w:r>
          </w:p>
        </w:tc>
        <w:tc>
          <w:tcPr>
            <w:tcW w:type="dxa" w:w="7200"/>
            <w:tcMar>
              <w:top w:w="75" w:type="dxa"/>
              <w:start w:w="90" w:type="dxa"/>
              <w:bottom w:w="75" w:type="dxa"/>
              <w:end w:w="90" w:type="dxa"/>
            </w:tcMar>
            <w:shd w:fill="F4FAFC"/>
            <w:vAlign w:val="top"/>
          </w:tcPr>
          <w:p>
            <w:r>
              <w:rPr>
                <w:rFonts w:ascii="Aptos" w:hAnsi="Aptos" w:eastAsia="Aptos"/>
                <w:color w:val="0E2D3E"/>
                <w:sz w:val="17"/>
              </w:rPr>
              <w:t>Configure immediate, daily, weekly or other supported delivery behavior.</w:t>
            </w:r>
          </w:p>
        </w:tc>
      </w:tr>
      <w:tr>
        <w:tc>
          <w:tcPr>
            <w:tcW w:type="dxa" w:w="2592"/>
            <w:tcMar>
              <w:top w:w="75" w:type="dxa"/>
              <w:start w:w="90" w:type="dxa"/>
              <w:bottom w:w="75" w:type="dxa"/>
              <w:end w:w="90" w:type="dxa"/>
            </w:tcMar>
            <w:vAlign w:val="top"/>
          </w:tcPr>
          <w:p>
            <w:r>
              <w:rPr>
                <w:rFonts w:ascii="Aptos" w:hAnsi="Aptos" w:eastAsia="Aptos"/>
                <w:color w:val="0E2D3E"/>
                <w:sz w:val="17"/>
              </w:rPr>
              <w:t>Brief generation</w:t>
            </w:r>
          </w:p>
        </w:tc>
        <w:tc>
          <w:tcPr>
            <w:tcW w:type="dxa" w:w="7200"/>
            <w:tcMar>
              <w:top w:w="75" w:type="dxa"/>
              <w:start w:w="90" w:type="dxa"/>
              <w:bottom w:w="75" w:type="dxa"/>
              <w:end w:w="90" w:type="dxa"/>
            </w:tcMar>
            <w:vAlign w:val="top"/>
          </w:tcPr>
          <w:p>
            <w:r>
              <w:rPr>
                <w:rFonts w:ascii="Aptos" w:hAnsi="Aptos" w:eastAsia="Aptos"/>
                <w:color w:val="0E2D3E"/>
                <w:sz w:val="17"/>
              </w:rPr>
              <w:t>Create concise source-linked briefs when matching records appear.</w:t>
            </w:r>
          </w:p>
        </w:tc>
      </w:tr>
      <w:tr>
        <w:tc>
          <w:tcPr>
            <w:tcW w:type="dxa" w:w="2592"/>
            <w:tcMar>
              <w:top w:w="75" w:type="dxa"/>
              <w:start w:w="90" w:type="dxa"/>
              <w:bottom w:w="75" w:type="dxa"/>
              <w:end w:w="90" w:type="dxa"/>
            </w:tcMar>
            <w:shd w:fill="F4FAFC"/>
            <w:vAlign w:val="top"/>
          </w:tcPr>
          <w:p>
            <w:r>
              <w:rPr>
                <w:rFonts w:ascii="Aptos" w:hAnsi="Aptos" w:eastAsia="Aptos"/>
                <w:color w:val="0E2D3E"/>
                <w:sz w:val="17"/>
              </w:rPr>
              <w:t>Notification Center</w:t>
            </w:r>
          </w:p>
        </w:tc>
        <w:tc>
          <w:tcPr>
            <w:tcW w:type="dxa" w:w="7200"/>
            <w:tcMar>
              <w:top w:w="75" w:type="dxa"/>
              <w:start w:w="90" w:type="dxa"/>
              <w:bottom w:w="75" w:type="dxa"/>
              <w:end w:w="90" w:type="dxa"/>
            </w:tcMar>
            <w:shd w:fill="F4FAFC"/>
            <w:vAlign w:val="top"/>
          </w:tcPr>
          <w:p>
            <w:r>
              <w:rPr>
                <w:rFonts w:ascii="Aptos" w:hAnsi="Aptos" w:eastAsia="Aptos"/>
                <w:color w:val="0E2D3E"/>
                <w:sz w:val="17"/>
              </w:rPr>
              <w:t>Review and search archived subscriber briefs.</w:t>
            </w:r>
          </w:p>
        </w:tc>
      </w:tr>
      <w:tr>
        <w:tc>
          <w:tcPr>
            <w:tcW w:type="dxa" w:w="2592"/>
            <w:tcMar>
              <w:top w:w="75" w:type="dxa"/>
              <w:start w:w="90" w:type="dxa"/>
              <w:bottom w:w="75" w:type="dxa"/>
              <w:end w:w="90" w:type="dxa"/>
            </w:tcMar>
            <w:vAlign w:val="top"/>
          </w:tcPr>
          <w:p>
            <w:r>
              <w:rPr>
                <w:rFonts w:ascii="Aptos" w:hAnsi="Aptos" w:eastAsia="Aptos"/>
                <w:color w:val="0E2D3E"/>
                <w:sz w:val="17"/>
              </w:rPr>
              <w:t>Email delivery</w:t>
            </w:r>
          </w:p>
        </w:tc>
        <w:tc>
          <w:tcPr>
            <w:tcW w:type="dxa" w:w="7200"/>
            <w:tcMar>
              <w:top w:w="75" w:type="dxa"/>
              <w:start w:w="90" w:type="dxa"/>
              <w:bottom w:w="75" w:type="dxa"/>
              <w:end w:w="90" w:type="dxa"/>
            </w:tcMar>
            <w:vAlign w:val="top"/>
          </w:tcPr>
          <w:p>
            <w:r>
              <w:rPr>
                <w:rFonts w:ascii="Aptos" w:hAnsi="Aptos" w:eastAsia="Aptos"/>
                <w:color w:val="0E2D3E"/>
                <w:sz w:val="17"/>
              </w:rPr>
              <w:t>Receive optional notifications when enabled.</w:t>
            </w:r>
          </w:p>
        </w:tc>
      </w:tr>
      <w:tr>
        <w:tc>
          <w:tcPr>
            <w:tcW w:type="dxa" w:w="2592"/>
            <w:tcMar>
              <w:top w:w="75" w:type="dxa"/>
              <w:start w:w="90" w:type="dxa"/>
              <w:bottom w:w="75" w:type="dxa"/>
              <w:end w:w="90" w:type="dxa"/>
            </w:tcMar>
            <w:shd w:fill="F4FAFC"/>
            <w:vAlign w:val="top"/>
          </w:tcPr>
          <w:p>
            <w:r>
              <w:rPr>
                <w:rFonts w:ascii="Aptos" w:hAnsi="Aptos" w:eastAsia="Aptos"/>
                <w:color w:val="0E2D3E"/>
                <w:sz w:val="17"/>
              </w:rPr>
              <w:t>Export / preservation</w:t>
            </w:r>
          </w:p>
        </w:tc>
        <w:tc>
          <w:tcPr>
            <w:tcW w:type="dxa" w:w="7200"/>
            <w:tcMar>
              <w:top w:w="75" w:type="dxa"/>
              <w:start w:w="90" w:type="dxa"/>
              <w:bottom w:w="75" w:type="dxa"/>
              <w:end w:w="90" w:type="dxa"/>
            </w:tcMar>
            <w:shd w:fill="F4FAFC"/>
            <w:vAlign w:val="top"/>
          </w:tcPr>
          <w:p>
            <w:r>
              <w:rPr>
                <w:rFonts w:ascii="Aptos" w:hAnsi="Aptos" w:eastAsia="Aptos"/>
                <w:color w:val="0E2D3E"/>
                <w:sz w:val="17"/>
              </w:rPr>
              <w:t>Store or export briefs while retaining source and confidence context.</w:t>
            </w:r>
          </w:p>
        </w:tc>
      </w:tr>
    </w:tbl>
    <w:p>
      <w:pPr>
        <w:spacing w:after="20"/>
      </w:pPr>
    </w:p>
    <w:tbl>
      <w:tblPr>
        <w:tblW w:type="auto" w:w="0"/>
        <w:jc w:val="center"/>
        <w:tblLayout w:type="autofit"/>
        <w:tblLook w:firstColumn="1" w:firstRow="1" w:lastColumn="0" w:lastRow="0" w:noHBand="0" w:noVBand="1" w:val="04A0"/>
      </w:tblPr>
      <w:tblGrid>
        <w:gridCol w:w="10340"/>
      </w:tblGrid>
      <w:tr>
        <w:trPr>
          <w:cantSplit/>
        </w:trPr>
        <w:tc>
          <w:tcPr>
            <w:tcW w:type="dxa" w:w="10340"/>
            <w:shd w:fill="EAF7FB"/>
            <w:tcBorders>
              <w:top w:val="single" w:sz="2" w:color="EAF7FB"/>
              <w:left w:val="single" w:sz="18" w:color="00A6C8"/>
              <w:bottom w:val="single" w:sz="2" w:color="EAF7FB"/>
              <w:right w:val="single" w:sz="2" w:color="EAF7FB"/>
            </w:tcBorders>
            <w:tcMar>
              <w:top w:w="120" w:type="dxa"/>
              <w:start w:w="160" w:type="dxa"/>
              <w:bottom w:w="120" w:type="dxa"/>
              <w:end w:w="160" w:type="dxa"/>
            </w:tcMar>
          </w:tcPr>
          <w:p>
            <w:r>
              <w:rPr>
                <w:rFonts w:ascii="Aptos" w:hAnsi="Aptos" w:eastAsia="Aptos"/>
                <w:b/>
                <w:color w:val="073B5C"/>
                <w:sz w:val="20"/>
              </w:rPr>
              <w:t>Privacy rule</w:t>
            </w:r>
          </w:p>
          <w:p>
            <w:pPr>
              <w:spacing w:after="0"/>
            </w:pPr>
            <w:r>
              <w:rPr>
                <w:rFonts w:ascii="Aptos" w:hAnsi="Aptos" w:eastAsia="Aptos"/>
                <w:color w:val="0E2D3E"/>
                <w:sz w:val="18"/>
              </w:rPr>
              <w:t>Notification functions are for subscriber service and portal operations. They are not designed for visitor-data resale or hidden third-party retargeting.</w:t>
            </w:r>
          </w:p>
        </w:tc>
      </w:tr>
    </w:tbl>
    <w:p>
      <w:pPr>
        <w:spacing w:after="0"/>
      </w:pPr>
    </w:p>
    <w:p>
      <w:r>
        <w:br w:type="page"/>
      </w:r>
    </w:p>
    <w:p>
      <w:pPr>
        <w:pStyle w:val="Heading1"/>
        <w:spacing w:before="0"/>
      </w:pPr>
      <w:r>
        <w:rPr>
          <w:rFonts w:ascii="Aptos Display" w:hAnsi="Aptos Display" w:eastAsia="Aptos Display"/>
          <w:b/>
          <w:color w:val="073B5C"/>
          <w:sz w:val="36"/>
        </w:rPr>
        <w:t>15. Payments, Subscriptions, and Commercial Options</w:t>
      </w:r>
    </w:p>
    <w:p>
      <w:pPr>
        <w:spacing w:after="20"/>
        <w:jc w:val="center"/>
      </w:pPr>
      <w:r>
        <w:drawing>
          <wp:inline xmlns:a="http://schemas.openxmlformats.org/drawingml/2006/main" xmlns:pic="http://schemas.openxmlformats.org/drawingml/2006/picture">
            <wp:extent cx="6263640" cy="3613638"/>
            <wp:docPr id="11" name="Picture 11"/>
            <wp:cNvGraphicFramePr>
              <a:graphicFrameLocks noChangeAspect="1"/>
            </wp:cNvGraphicFramePr>
            <a:graphic>
              <a:graphicData uri="http://schemas.openxmlformats.org/drawingml/2006/picture">
                <pic:pic>
                  <pic:nvPicPr>
                    <pic:cNvPr id="0" name="payments_commercial.jpg"/>
                    <pic:cNvPicPr/>
                  </pic:nvPicPr>
                  <pic:blipFill>
                    <a:blip r:embed="rId20"/>
                    <a:stretch>
                      <a:fillRect/>
                    </a:stretch>
                  </pic:blipFill>
                  <pic:spPr>
                    <a:xfrm>
                      <a:off x="0" y="0"/>
                      <a:ext cx="6263640" cy="3613638"/>
                    </a:xfrm>
                    <a:prstGeom prst="rect"/>
                  </pic:spPr>
                </pic:pic>
              </a:graphicData>
            </a:graphic>
          </wp:inline>
        </w:drawing>
      </w:r>
    </w:p>
    <w:p>
      <w:pPr>
        <w:pStyle w:val="FigureCaption"/>
        <w:jc w:val="center"/>
      </w:pPr>
      <w:r>
        <w:t>Commercial options page shown during Portal Engine staging validation.</w:t>
      </w:r>
    </w:p>
    <w:tbl>
      <w:tblPr>
        <w:tblStyle w:val="TableGrid"/>
        <w:tblW w:type="auto" w:w="0"/>
        <w:jc w:val="center"/>
        <w:tblLook w:firstColumn="1" w:firstRow="1" w:lastColumn="0" w:lastRow="0" w:noHBand="0" w:noVBand="1" w:val="04A0"/>
      </w:tblPr>
      <w:tblGrid>
        <w:gridCol w:w="5170"/>
        <w:gridCol w:w="5170"/>
      </w:tblGrid>
      <w:tr>
        <w:trPr>
          <w:tblHeader w:val="true"/>
        </w:trPr>
        <w:tc>
          <w:tcPr>
            <w:tcW w:type="dxa" w:w="2592"/>
            <w:shd w:fill="073B5C"/>
            <w:tcMar>
              <w:top w:w="90" w:type="dxa"/>
              <w:start w:w="100" w:type="dxa"/>
              <w:bottom w:w="90" w:type="dxa"/>
              <w:end w:w="100" w:type="dxa"/>
            </w:tcMar>
          </w:tcPr>
          <w:p>
            <w:pPr>
              <w:jc w:val="left"/>
            </w:pPr>
            <w:r>
              <w:rPr>
                <w:rFonts w:ascii="Aptos" w:hAnsi="Aptos" w:eastAsia="Aptos"/>
                <w:b/>
                <w:color w:val="FFFFFF"/>
                <w:sz w:val="18"/>
              </w:rPr>
              <w:t>Option</w:t>
            </w:r>
          </w:p>
        </w:tc>
        <w:tc>
          <w:tcPr>
            <w:tcW w:type="dxa" w:w="7200"/>
            <w:shd w:fill="073B5C"/>
            <w:tcMar>
              <w:top w:w="90" w:type="dxa"/>
              <w:start w:w="100" w:type="dxa"/>
              <w:bottom w:w="90" w:type="dxa"/>
              <w:end w:w="100" w:type="dxa"/>
            </w:tcMar>
          </w:tcPr>
          <w:p>
            <w:pPr>
              <w:jc w:val="left"/>
            </w:pPr>
            <w:r>
              <w:rPr>
                <w:rFonts w:ascii="Aptos" w:hAnsi="Aptos" w:eastAsia="Aptos"/>
                <w:b/>
                <w:color w:val="FFFFFF"/>
                <w:sz w:val="18"/>
              </w:rPr>
              <w:t>Published Structure</w:t>
            </w:r>
          </w:p>
        </w:tc>
      </w:tr>
      <w:tr>
        <w:tc>
          <w:tcPr>
            <w:tcW w:type="dxa" w:w="2592"/>
            <w:tcMar>
              <w:top w:w="75" w:type="dxa"/>
              <w:start w:w="90" w:type="dxa"/>
              <w:bottom w:w="75" w:type="dxa"/>
              <w:end w:w="90" w:type="dxa"/>
            </w:tcMar>
            <w:vAlign w:val="top"/>
          </w:tcPr>
          <w:p>
            <w:r>
              <w:rPr>
                <w:rFonts w:ascii="Aptos" w:hAnsi="Aptos" w:eastAsia="Aptos"/>
                <w:color w:val="0E2D3E"/>
                <w:sz w:val="17"/>
              </w:rPr>
              <w:t>Founding Sponsor</w:t>
            </w:r>
          </w:p>
        </w:tc>
        <w:tc>
          <w:tcPr>
            <w:tcW w:type="dxa" w:w="7200"/>
            <w:tcMar>
              <w:top w:w="75" w:type="dxa"/>
              <w:start w:w="90" w:type="dxa"/>
              <w:bottom w:w="75" w:type="dxa"/>
              <w:end w:w="90" w:type="dxa"/>
            </w:tcMar>
            <w:vAlign w:val="top"/>
          </w:tcPr>
          <w:p>
            <w:r>
              <w:rPr>
                <w:rFonts w:ascii="Aptos" w:hAnsi="Aptos" w:eastAsia="Aptos"/>
                <w:color w:val="0E2D3E"/>
                <w:sz w:val="17"/>
              </w:rPr>
              <w:t>$35,000 launch package.</w:t>
            </w:r>
          </w:p>
        </w:tc>
      </w:tr>
      <w:tr>
        <w:tc>
          <w:tcPr>
            <w:tcW w:type="dxa" w:w="2592"/>
            <w:tcMar>
              <w:top w:w="75" w:type="dxa"/>
              <w:start w:w="90" w:type="dxa"/>
              <w:bottom w:w="75" w:type="dxa"/>
              <w:end w:w="90" w:type="dxa"/>
            </w:tcMar>
            <w:shd w:fill="F4FAFC"/>
            <w:vAlign w:val="top"/>
          </w:tcPr>
          <w:p>
            <w:r>
              <w:rPr>
                <w:rFonts w:ascii="Aptos" w:hAnsi="Aptos" w:eastAsia="Aptos"/>
                <w:color w:val="0E2D3E"/>
                <w:sz w:val="17"/>
              </w:rPr>
              <w:t>Featured Listing</w:t>
            </w:r>
          </w:p>
        </w:tc>
        <w:tc>
          <w:tcPr>
            <w:tcW w:type="dxa" w:w="7200"/>
            <w:tcMar>
              <w:top w:w="75" w:type="dxa"/>
              <w:start w:w="90" w:type="dxa"/>
              <w:bottom w:w="75" w:type="dxa"/>
              <w:end w:w="90" w:type="dxa"/>
            </w:tcMar>
            <w:shd w:fill="F4FAFC"/>
            <w:vAlign w:val="top"/>
          </w:tcPr>
          <w:p>
            <w:r>
              <w:rPr>
                <w:rFonts w:ascii="Aptos" w:hAnsi="Aptos" w:eastAsia="Aptos"/>
                <w:color w:val="0E2D3E"/>
                <w:sz w:val="17"/>
              </w:rPr>
              <w:t>$2,500 per year.</w:t>
            </w:r>
          </w:p>
        </w:tc>
      </w:tr>
      <w:tr>
        <w:tc>
          <w:tcPr>
            <w:tcW w:type="dxa" w:w="2592"/>
            <w:tcMar>
              <w:top w:w="75" w:type="dxa"/>
              <w:start w:w="90" w:type="dxa"/>
              <w:bottom w:w="75" w:type="dxa"/>
              <w:end w:w="90" w:type="dxa"/>
            </w:tcMar>
            <w:vAlign w:val="top"/>
          </w:tcPr>
          <w:p>
            <w:r>
              <w:rPr>
                <w:rFonts w:ascii="Aptos" w:hAnsi="Aptos" w:eastAsia="Aptos"/>
                <w:color w:val="0E2D3E"/>
                <w:sz w:val="17"/>
              </w:rPr>
              <w:t>Premium Intelligence</w:t>
            </w:r>
          </w:p>
        </w:tc>
        <w:tc>
          <w:tcPr>
            <w:tcW w:type="dxa" w:w="7200"/>
            <w:tcMar>
              <w:top w:w="75" w:type="dxa"/>
              <w:start w:w="90" w:type="dxa"/>
              <w:bottom w:w="75" w:type="dxa"/>
              <w:end w:w="90" w:type="dxa"/>
            </w:tcMar>
            <w:vAlign w:val="top"/>
          </w:tcPr>
          <w:p>
            <w:r>
              <w:rPr>
                <w:rFonts w:ascii="Aptos" w:hAnsi="Aptos" w:eastAsia="Aptos"/>
                <w:color w:val="0E2D3E"/>
                <w:sz w:val="17"/>
              </w:rPr>
              <w:t>$4,995 per year.</w:t>
            </w:r>
          </w:p>
        </w:tc>
      </w:tr>
      <w:tr>
        <w:tc>
          <w:tcPr>
            <w:tcW w:type="dxa" w:w="2592"/>
            <w:tcMar>
              <w:top w:w="75" w:type="dxa"/>
              <w:start w:w="90" w:type="dxa"/>
              <w:bottom w:w="75" w:type="dxa"/>
              <w:end w:w="90" w:type="dxa"/>
            </w:tcMar>
            <w:shd w:fill="F4FAFC"/>
            <w:vAlign w:val="top"/>
          </w:tcPr>
          <w:p>
            <w:r>
              <w:rPr>
                <w:rFonts w:ascii="Aptos" w:hAnsi="Aptos" w:eastAsia="Aptos"/>
                <w:color w:val="0E2D3E"/>
                <w:sz w:val="17"/>
              </w:rPr>
              <w:t>Blind RFP Access</w:t>
            </w:r>
          </w:p>
        </w:tc>
        <w:tc>
          <w:tcPr>
            <w:tcW w:type="dxa" w:w="7200"/>
            <w:tcMar>
              <w:top w:w="75" w:type="dxa"/>
              <w:start w:w="90" w:type="dxa"/>
              <w:bottom w:w="75" w:type="dxa"/>
              <w:end w:w="90" w:type="dxa"/>
            </w:tcMar>
            <w:shd w:fill="F4FAFC"/>
            <w:vAlign w:val="top"/>
          </w:tcPr>
          <w:p>
            <w:r>
              <w:rPr>
                <w:rFonts w:ascii="Aptos" w:hAnsi="Aptos" w:eastAsia="Aptos"/>
                <w:color w:val="0E2D3E"/>
                <w:sz w:val="17"/>
              </w:rPr>
              <w:t>$2,500 per year.</w:t>
            </w:r>
          </w:p>
        </w:tc>
      </w:tr>
      <w:tr>
        <w:tc>
          <w:tcPr>
            <w:tcW w:type="dxa" w:w="2592"/>
            <w:tcMar>
              <w:top w:w="75" w:type="dxa"/>
              <w:start w:w="90" w:type="dxa"/>
              <w:bottom w:w="75" w:type="dxa"/>
              <w:end w:w="90" w:type="dxa"/>
            </w:tcMar>
            <w:vAlign w:val="top"/>
          </w:tcPr>
          <w:p>
            <w:r>
              <w:rPr>
                <w:rFonts w:ascii="Aptos" w:hAnsi="Aptos" w:eastAsia="Aptos"/>
                <w:color w:val="0E2D3E"/>
                <w:sz w:val="17"/>
              </w:rPr>
              <w:t>Founding Partner</w:t>
            </w:r>
          </w:p>
        </w:tc>
        <w:tc>
          <w:tcPr>
            <w:tcW w:type="dxa" w:w="7200"/>
            <w:tcMar>
              <w:top w:w="75" w:type="dxa"/>
              <w:start w:w="90" w:type="dxa"/>
              <w:bottom w:w="75" w:type="dxa"/>
              <w:end w:w="90" w:type="dxa"/>
            </w:tcMar>
            <w:vAlign w:val="top"/>
          </w:tcPr>
          <w:p>
            <w:r>
              <w:rPr>
                <w:rFonts w:ascii="Aptos" w:hAnsi="Aptos" w:eastAsia="Aptos"/>
                <w:color w:val="0E2D3E"/>
                <w:sz w:val="17"/>
              </w:rPr>
              <w:t>Invitation-only, maximum five organizations, direct agreement; not self-service Stripe checkout.</w:t>
            </w:r>
          </w:p>
        </w:tc>
      </w:tr>
    </w:tbl>
    <w:p>
      <w:pPr>
        <w:spacing w:after="20"/>
      </w:pPr>
    </w:p>
    <w:p>
      <w:pPr>
        <w:pStyle w:val="ListBullet"/>
        <w:spacing w:after="40"/>
      </w:pPr>
      <w:r>
        <w:rPr>
          <w:rFonts w:ascii="Aptos" w:hAnsi="Aptos" w:eastAsia="Aptos"/>
          <w:sz w:val="18"/>
        </w:rPr>
        <w:t>Use only the checkout button presented on the current portal page.</w:t>
      </w:r>
    </w:p>
    <w:p>
      <w:pPr>
        <w:pStyle w:val="ListBullet"/>
        <w:spacing w:after="40"/>
      </w:pPr>
      <w:r>
        <w:rPr>
          <w:rFonts w:ascii="Aptos" w:hAnsi="Aptos" w:eastAsia="Aptos"/>
          <w:sz w:val="18"/>
        </w:rPr>
        <w:t>The Portal Engine stores approved public Stripe Payment Link destinations, not Stripe secret keys.</w:t>
      </w:r>
    </w:p>
    <w:p>
      <w:pPr>
        <w:pStyle w:val="ListBullet"/>
        <w:spacing w:after="40"/>
      </w:pPr>
      <w:r>
        <w:rPr>
          <w:rFonts w:ascii="Aptos" w:hAnsi="Aptos" w:eastAsia="Aptos"/>
          <w:sz w:val="18"/>
        </w:rPr>
        <w:t>A successful payment may require account matching or operator confirmation before all capabilities appear.</w:t>
      </w:r>
    </w:p>
    <w:p>
      <w:pPr>
        <w:pStyle w:val="ListBullet"/>
        <w:spacing w:after="40"/>
      </w:pPr>
      <w:r>
        <w:rPr>
          <w:rFonts w:ascii="Aptos" w:hAnsi="Aptos" w:eastAsia="Aptos"/>
          <w:sz w:val="18"/>
        </w:rPr>
        <w:t>Contact Blue Ammonia for invoice, contract, enterprise, sponsor or Founding Partner questions.</w:t>
      </w:r>
    </w:p>
    <w:p>
      <w:r>
        <w:br w:type="page"/>
      </w:r>
    </w:p>
    <w:p>
      <w:pPr>
        <w:pStyle w:val="Heading1"/>
        <w:spacing w:before="0"/>
      </w:pPr>
      <w:r>
        <w:rPr>
          <w:rFonts w:ascii="Aptos Display" w:hAnsi="Aptos Display" w:eastAsia="Aptos Display"/>
          <w:b/>
          <w:color w:val="073B5C"/>
          <w:sz w:val="36"/>
        </w:rPr>
        <w:t>16. Partner Center and Visibility Areas</w:t>
      </w:r>
    </w:p>
    <w:p>
      <w:pPr>
        <w:spacing w:after="20"/>
        <w:jc w:val="center"/>
      </w:pPr>
      <w:r>
        <w:drawing>
          <wp:inline xmlns:a="http://schemas.openxmlformats.org/drawingml/2006/main" xmlns:pic="http://schemas.openxmlformats.org/drawingml/2006/picture">
            <wp:extent cx="5943600" cy="5634532"/>
            <wp:docPr id="12" name="Picture 12"/>
            <wp:cNvGraphicFramePr>
              <a:graphicFrameLocks noChangeAspect="1"/>
            </wp:cNvGraphicFramePr>
            <a:graphic>
              <a:graphicData uri="http://schemas.openxmlformats.org/drawingml/2006/picture">
                <pic:pic>
                  <pic:nvPicPr>
                    <pic:cNvPr id="0" name="partner_visibility.jpg"/>
                    <pic:cNvPicPr/>
                  </pic:nvPicPr>
                  <pic:blipFill>
                    <a:blip r:embed="rId21"/>
                    <a:stretch>
                      <a:fillRect/>
                    </a:stretch>
                  </pic:blipFill>
                  <pic:spPr>
                    <a:xfrm>
                      <a:off x="0" y="0"/>
                      <a:ext cx="5943600" cy="5634532"/>
                    </a:xfrm>
                    <a:prstGeom prst="rect"/>
                  </pic:spPr>
                </pic:pic>
              </a:graphicData>
            </a:graphic>
          </wp:inline>
        </w:drawing>
      </w:r>
    </w:p>
    <w:p>
      <w:pPr>
        <w:pStyle w:val="FigureCaption"/>
        <w:jc w:val="center"/>
      </w:pPr>
      <w:r>
        <w:t>Subscriber preview, RFQ access and reserved sponsor/partner visibility areas.</w:t>
      </w:r>
    </w:p>
    <w:p>
      <w:r>
        <w:rPr>
          <w:rFonts w:ascii="Aptos" w:hAnsi="Aptos" w:eastAsia="Aptos"/>
        </w:rPr>
        <w:t>The Partner Center explains how companies can participate through visibility, placement, sponsorship, project-map support, data collaboration and direct partnership discussions.</w:t>
      </w:r>
    </w:p>
    <w:p>
      <w:pPr>
        <w:pStyle w:val="ListBullet"/>
        <w:spacing w:after="40"/>
      </w:pPr>
      <w:r>
        <w:rPr>
          <w:rFonts w:ascii="Aptos" w:hAnsi="Aptos" w:eastAsia="Aptos"/>
          <w:sz w:val="18"/>
        </w:rPr>
        <w:t>Reserved visibility areas are available placement opportunities, not proof that a company currently occupies the position.</w:t>
      </w:r>
    </w:p>
    <w:p>
      <w:pPr>
        <w:pStyle w:val="ListBullet"/>
        <w:spacing w:after="40"/>
      </w:pPr>
      <w:r>
        <w:rPr>
          <w:rFonts w:ascii="Aptos" w:hAnsi="Aptos" w:eastAsia="Aptos"/>
          <w:sz w:val="18"/>
        </w:rPr>
        <w:t>Founding Sponsor and Featured Listing are distinct from the invitation-only Founding Partner program.</w:t>
      </w:r>
    </w:p>
    <w:p>
      <w:pPr>
        <w:pStyle w:val="ListBullet"/>
        <w:spacing w:after="40"/>
      </w:pPr>
      <w:r>
        <w:rPr>
          <w:rFonts w:ascii="Aptos" w:hAnsi="Aptos" w:eastAsia="Aptos"/>
          <w:sz w:val="18"/>
        </w:rPr>
        <w:t>Portal, sector, map, project, publication, newsletter and data sponsorships may use different terms.</w:t>
      </w:r>
    </w:p>
    <w:p>
      <w:pPr>
        <w:pStyle w:val="ListBullet"/>
        <w:spacing w:after="40"/>
      </w:pPr>
      <w:r>
        <w:rPr>
          <w:rFonts w:ascii="Aptos" w:hAnsi="Aptos" w:eastAsia="Aptos"/>
          <w:sz w:val="18"/>
        </w:rPr>
        <w:t>All placements remain subject to agreement, claims review and brand standards.</w:t>
      </w:r>
    </w:p>
    <w:p>
      <w:r>
        <w:br w:type="page"/>
      </w:r>
    </w:p>
    <w:p>
      <w:pPr>
        <w:pStyle w:val="Heading1"/>
        <w:spacing w:before="0"/>
      </w:pPr>
      <w:r>
        <w:rPr>
          <w:rFonts w:ascii="Aptos Display" w:hAnsi="Aptos Display" w:eastAsia="Aptos Display"/>
          <w:b/>
          <w:color w:val="073B5C"/>
          <w:sz w:val="36"/>
        </w:rPr>
        <w:t>17. Publications, Newsletter, Live Data, and Market Intelligence</w:t>
      </w:r>
    </w:p>
    <w:tbl>
      <w:tblPr>
        <w:tblStyle w:val="TableGrid"/>
        <w:tblW w:type="auto" w:w="0"/>
        <w:jc w:val="center"/>
        <w:tblLook w:firstColumn="1" w:firstRow="1" w:lastColumn="0" w:lastRow="0" w:noHBand="0" w:noVBand="1" w:val="04A0"/>
      </w:tblPr>
      <w:tblGrid>
        <w:gridCol w:w="5170"/>
        <w:gridCol w:w="5170"/>
      </w:tblGrid>
      <w:tr>
        <w:trPr>
          <w:tblHeader w:val="true"/>
        </w:trPr>
        <w:tc>
          <w:tcPr>
            <w:tcW w:type="dxa" w:w="2592"/>
            <w:shd w:fill="073B5C"/>
            <w:tcMar>
              <w:top w:w="90" w:type="dxa"/>
              <w:start w:w="100" w:type="dxa"/>
              <w:bottom w:w="90" w:type="dxa"/>
              <w:end w:w="100" w:type="dxa"/>
            </w:tcMar>
          </w:tcPr>
          <w:p>
            <w:pPr>
              <w:jc w:val="left"/>
            </w:pPr>
            <w:r>
              <w:rPr>
                <w:rFonts w:ascii="Aptos" w:hAnsi="Aptos" w:eastAsia="Aptos"/>
                <w:b/>
                <w:color w:val="FFFFFF"/>
                <w:sz w:val="18"/>
              </w:rPr>
              <w:t>Area</w:t>
            </w:r>
          </w:p>
        </w:tc>
        <w:tc>
          <w:tcPr>
            <w:tcW w:type="dxa" w:w="7200"/>
            <w:shd w:fill="073B5C"/>
            <w:tcMar>
              <w:top w:w="90" w:type="dxa"/>
              <w:start w:w="100" w:type="dxa"/>
              <w:bottom w:w="90" w:type="dxa"/>
              <w:end w:w="100" w:type="dxa"/>
            </w:tcMar>
          </w:tcPr>
          <w:p>
            <w:pPr>
              <w:jc w:val="left"/>
            </w:pPr>
            <w:r>
              <w:rPr>
                <w:rFonts w:ascii="Aptos" w:hAnsi="Aptos" w:eastAsia="Aptos"/>
                <w:b/>
                <w:color w:val="FFFFFF"/>
                <w:sz w:val="18"/>
              </w:rPr>
              <w:t>Purpose</w:t>
            </w:r>
          </w:p>
        </w:tc>
      </w:tr>
      <w:tr>
        <w:tc>
          <w:tcPr>
            <w:tcW w:type="dxa" w:w="2592"/>
            <w:tcMar>
              <w:top w:w="75" w:type="dxa"/>
              <w:start w:w="90" w:type="dxa"/>
              <w:bottom w:w="75" w:type="dxa"/>
              <w:end w:w="90" w:type="dxa"/>
            </w:tcMar>
            <w:vAlign w:val="top"/>
          </w:tcPr>
          <w:p>
            <w:r>
              <w:rPr>
                <w:rFonts w:ascii="Aptos" w:hAnsi="Aptos" w:eastAsia="Aptos"/>
                <w:color w:val="0E2D3E"/>
                <w:sz w:val="17"/>
              </w:rPr>
              <w:t>Market Intelligence Center</w:t>
            </w:r>
          </w:p>
        </w:tc>
        <w:tc>
          <w:tcPr>
            <w:tcW w:type="dxa" w:w="7200"/>
            <w:tcMar>
              <w:top w:w="75" w:type="dxa"/>
              <w:start w:w="90" w:type="dxa"/>
              <w:bottom w:w="75" w:type="dxa"/>
              <w:end w:w="90" w:type="dxa"/>
            </w:tcMar>
            <w:vAlign w:val="top"/>
          </w:tcPr>
          <w:p>
            <w:r>
              <w:rPr>
                <w:rFonts w:ascii="Aptos" w:hAnsi="Aptos" w:eastAsia="Aptos"/>
                <w:color w:val="0E2D3E"/>
                <w:sz w:val="17"/>
              </w:rPr>
              <w:t>Organizes market signals, source review, research workflows and canonical portal records.</w:t>
            </w:r>
          </w:p>
        </w:tc>
      </w:tr>
      <w:tr>
        <w:tc>
          <w:tcPr>
            <w:tcW w:type="dxa" w:w="2592"/>
            <w:tcMar>
              <w:top w:w="75" w:type="dxa"/>
              <w:start w:w="90" w:type="dxa"/>
              <w:bottom w:w="75" w:type="dxa"/>
              <w:end w:w="90" w:type="dxa"/>
            </w:tcMar>
            <w:shd w:fill="F4FAFC"/>
            <w:vAlign w:val="top"/>
          </w:tcPr>
          <w:p>
            <w:r>
              <w:rPr>
                <w:rFonts w:ascii="Aptos" w:hAnsi="Aptos" w:eastAsia="Aptos"/>
                <w:color w:val="0E2D3E"/>
                <w:sz w:val="17"/>
              </w:rPr>
              <w:t>Live Data Center</w:t>
            </w:r>
          </w:p>
        </w:tc>
        <w:tc>
          <w:tcPr>
            <w:tcW w:type="dxa" w:w="7200"/>
            <w:tcMar>
              <w:top w:w="75" w:type="dxa"/>
              <w:start w:w="90" w:type="dxa"/>
              <w:bottom w:w="75" w:type="dxa"/>
              <w:end w:w="90" w:type="dxa"/>
            </w:tcMar>
            <w:shd w:fill="F4FAFC"/>
            <w:vAlign w:val="top"/>
          </w:tcPr>
          <w:p>
            <w:r>
              <w:rPr>
                <w:rFonts w:ascii="Aptos" w:hAnsi="Aptos" w:eastAsia="Aptos"/>
                <w:color w:val="0E2D3E"/>
                <w:sz w:val="17"/>
              </w:rPr>
              <w:t>Shows grouped feeds, source families, feed status, SEC/filing watch, policy, shipping and carbon/CCUS signals.</w:t>
            </w:r>
          </w:p>
        </w:tc>
      </w:tr>
      <w:tr>
        <w:tc>
          <w:tcPr>
            <w:tcW w:type="dxa" w:w="2592"/>
            <w:tcMar>
              <w:top w:w="75" w:type="dxa"/>
              <w:start w:w="90" w:type="dxa"/>
              <w:bottom w:w="75" w:type="dxa"/>
              <w:end w:w="90" w:type="dxa"/>
            </w:tcMar>
            <w:vAlign w:val="top"/>
          </w:tcPr>
          <w:p>
            <w:r>
              <w:rPr>
                <w:rFonts w:ascii="Aptos" w:hAnsi="Aptos" w:eastAsia="Aptos"/>
                <w:color w:val="0E2D3E"/>
                <w:sz w:val="17"/>
              </w:rPr>
              <w:t>Publications</w:t>
            </w:r>
          </w:p>
        </w:tc>
        <w:tc>
          <w:tcPr>
            <w:tcW w:type="dxa" w:w="7200"/>
            <w:tcMar>
              <w:top w:w="75" w:type="dxa"/>
              <w:start w:w="90" w:type="dxa"/>
              <w:bottom w:w="75" w:type="dxa"/>
              <w:end w:w="90" w:type="dxa"/>
            </w:tcMar>
            <w:vAlign w:val="top"/>
          </w:tcPr>
          <w:p>
            <w:r>
              <w:rPr>
                <w:rFonts w:ascii="Aptos" w:hAnsi="Aptos" w:eastAsia="Aptos"/>
                <w:color w:val="0E2D3E"/>
                <w:sz w:val="17"/>
              </w:rPr>
              <w:t>Provides reports, articles, user guides, prospectus access and other industry materials.</w:t>
            </w:r>
          </w:p>
        </w:tc>
      </w:tr>
      <w:tr>
        <w:tc>
          <w:tcPr>
            <w:tcW w:type="dxa" w:w="2592"/>
            <w:tcMar>
              <w:top w:w="75" w:type="dxa"/>
              <w:start w:w="90" w:type="dxa"/>
              <w:bottom w:w="75" w:type="dxa"/>
              <w:end w:w="90" w:type="dxa"/>
            </w:tcMar>
            <w:shd w:fill="F4FAFC"/>
            <w:vAlign w:val="top"/>
          </w:tcPr>
          <w:p>
            <w:r>
              <w:rPr>
                <w:rFonts w:ascii="Aptos" w:hAnsi="Aptos" w:eastAsia="Aptos"/>
                <w:color w:val="0E2D3E"/>
                <w:sz w:val="17"/>
              </w:rPr>
              <w:t>Newsletter Studio</w:t>
            </w:r>
          </w:p>
        </w:tc>
        <w:tc>
          <w:tcPr>
            <w:tcW w:type="dxa" w:w="7200"/>
            <w:tcMar>
              <w:top w:w="75" w:type="dxa"/>
              <w:start w:w="90" w:type="dxa"/>
              <w:bottom w:w="75" w:type="dxa"/>
              <w:end w:w="90" w:type="dxa"/>
            </w:tcMar>
            <w:shd w:fill="F4FAFC"/>
            <w:vAlign w:val="top"/>
          </w:tcPr>
          <w:p>
            <w:r>
              <w:rPr>
                <w:rFonts w:ascii="Aptos" w:hAnsi="Aptos" w:eastAsia="Aptos"/>
                <w:color w:val="0E2D3E"/>
                <w:sz w:val="17"/>
              </w:rPr>
              <w:t>Converts selected portal records and preserved agent outputs into reviewable drafts.</w:t>
            </w:r>
          </w:p>
        </w:tc>
      </w:tr>
      <w:tr>
        <w:tc>
          <w:tcPr>
            <w:tcW w:type="dxa" w:w="2592"/>
            <w:tcMar>
              <w:top w:w="75" w:type="dxa"/>
              <w:start w:w="90" w:type="dxa"/>
              <w:bottom w:w="75" w:type="dxa"/>
              <w:end w:w="90" w:type="dxa"/>
            </w:tcMar>
            <w:vAlign w:val="top"/>
          </w:tcPr>
          <w:p>
            <w:r>
              <w:rPr>
                <w:rFonts w:ascii="Aptos" w:hAnsi="Aptos" w:eastAsia="Aptos"/>
                <w:color w:val="0E2D3E"/>
                <w:sz w:val="17"/>
              </w:rPr>
              <w:t>Noteworthy Items</w:t>
            </w:r>
          </w:p>
        </w:tc>
        <w:tc>
          <w:tcPr>
            <w:tcW w:type="dxa" w:w="7200"/>
            <w:tcMar>
              <w:top w:w="75" w:type="dxa"/>
              <w:start w:w="90" w:type="dxa"/>
              <w:bottom w:w="75" w:type="dxa"/>
              <w:end w:w="90" w:type="dxa"/>
            </w:tcMar>
            <w:vAlign w:val="top"/>
          </w:tcPr>
          <w:p>
            <w:r>
              <w:rPr>
                <w:rFonts w:ascii="Aptos" w:hAnsi="Aptos" w:eastAsia="Aptos"/>
                <w:color w:val="0E2D3E"/>
                <w:sz w:val="17"/>
              </w:rPr>
              <w:t>Surfaces the highest-value current signals and routes them to analysis.</w:t>
            </w:r>
          </w:p>
        </w:tc>
      </w:tr>
      <w:tr>
        <w:tc>
          <w:tcPr>
            <w:tcW w:type="dxa" w:w="2592"/>
            <w:tcMar>
              <w:top w:w="75" w:type="dxa"/>
              <w:start w:w="90" w:type="dxa"/>
              <w:bottom w:w="75" w:type="dxa"/>
              <w:end w:w="90" w:type="dxa"/>
            </w:tcMar>
            <w:shd w:fill="F4FAFC"/>
            <w:vAlign w:val="top"/>
          </w:tcPr>
          <w:p>
            <w:r>
              <w:rPr>
                <w:rFonts w:ascii="Aptos" w:hAnsi="Aptos" w:eastAsia="Aptos"/>
                <w:color w:val="0E2D3E"/>
                <w:sz w:val="17"/>
              </w:rPr>
              <w:t>Agent Memory</w:t>
            </w:r>
          </w:p>
        </w:tc>
        <w:tc>
          <w:tcPr>
            <w:tcW w:type="dxa" w:w="7200"/>
            <w:tcMar>
              <w:top w:w="75" w:type="dxa"/>
              <w:start w:w="90" w:type="dxa"/>
              <w:bottom w:w="75" w:type="dxa"/>
              <w:end w:w="90" w:type="dxa"/>
            </w:tcMar>
            <w:shd w:fill="F4FAFC"/>
            <w:vAlign w:val="top"/>
          </w:tcPr>
          <w:p>
            <w:r>
              <w:rPr>
                <w:rFonts w:ascii="Aptos" w:hAnsi="Aptos" w:eastAsia="Aptos"/>
                <w:color w:val="0E2D3E"/>
                <w:sz w:val="17"/>
              </w:rPr>
              <w:t>Preserves outputs and context for later research or publication.</w:t>
            </w:r>
          </w:p>
        </w:tc>
      </w:tr>
    </w:tbl>
    <w:p>
      <w:pPr>
        <w:spacing w:after="20"/>
      </w:pPr>
    </w:p>
    <w:tbl>
      <w:tblPr>
        <w:tblW w:type="auto" w:w="0"/>
        <w:jc w:val="center"/>
        <w:tblLayout w:type="autofit"/>
        <w:tblLook w:firstColumn="1" w:firstRow="1" w:lastColumn="0" w:lastRow="0" w:noHBand="0" w:noVBand="1" w:val="04A0"/>
      </w:tblPr>
      <w:tblGrid>
        <w:gridCol w:w="10340"/>
      </w:tblGrid>
      <w:tr>
        <w:trPr>
          <w:cantSplit/>
        </w:trPr>
        <w:tc>
          <w:tcPr>
            <w:tcW w:type="dxa" w:w="10340"/>
            <w:shd w:fill="EAF7FB"/>
            <w:tcBorders>
              <w:top w:val="single" w:sz="2" w:color="EAF7FB"/>
              <w:left w:val="single" w:sz="18" w:color="00A6C8"/>
              <w:bottom w:val="single" w:sz="2" w:color="EAF7FB"/>
              <w:right w:val="single" w:sz="2" w:color="EAF7FB"/>
            </w:tcBorders>
            <w:tcMar>
              <w:top w:w="120" w:type="dxa"/>
              <w:start w:w="160" w:type="dxa"/>
              <w:bottom w:w="120" w:type="dxa"/>
              <w:end w:w="160" w:type="dxa"/>
            </w:tcMar>
          </w:tcPr>
          <w:p>
            <w:r>
              <w:rPr>
                <w:rFonts w:ascii="Aptos" w:hAnsi="Aptos" w:eastAsia="Aptos"/>
                <w:b/>
                <w:color w:val="073B5C"/>
                <w:sz w:val="20"/>
              </w:rPr>
              <w:t>Source availability</w:t>
            </w:r>
          </w:p>
          <w:p>
            <w:pPr>
              <w:spacing w:after="0"/>
            </w:pPr>
            <w:r>
              <w:rPr>
                <w:rFonts w:ascii="Aptos" w:hAnsi="Aptos" w:eastAsia="Aptos"/>
                <w:color w:val="0E2D3E"/>
                <w:sz w:val="18"/>
              </w:rPr>
              <w:t>External feeds can fail or change. Public pages should degrade gracefully, while administrators receive diagnostics. The portal should not fabricate unavailable external data.</w:t>
            </w:r>
          </w:p>
        </w:tc>
      </w:tr>
    </w:tbl>
    <w:p>
      <w:pPr>
        <w:spacing w:after="0"/>
      </w:pPr>
    </w:p>
    <w:p>
      <w:r>
        <w:br w:type="page"/>
      </w:r>
    </w:p>
    <w:tbl>
      <w:tblPr>
        <w:tblW w:type="auto" w:w="0"/>
        <w:jc w:val="center"/>
        <w:tblLook w:firstColumn="1" w:firstRow="1" w:lastColumn="0" w:lastRow="0" w:noHBand="0" w:noVBand="1" w:val="04A0"/>
      </w:tblPr>
      <w:tblGrid>
        <w:gridCol w:w="10340"/>
      </w:tblGrid>
      <w:tr>
        <w:trPr>
          <w:cantSplit/>
        </w:trPr>
        <w:tc>
          <w:tcPr>
            <w:tcW w:type="dxa" w:w="10340"/>
            <w:shd w:fill="073B5C"/>
            <w:tcMar>
              <w:top w:w="160" w:type="dxa"/>
              <w:start w:w="190" w:type="dxa"/>
              <w:bottom w:w="150" w:type="dxa"/>
              <w:end w:w="190" w:type="dxa"/>
            </w:tcMar>
          </w:tcPr>
          <w:p>
            <w:r>
              <w:rPr>
                <w:rFonts w:ascii="Aptos" w:hAnsi="Aptos" w:eastAsia="Aptos"/>
                <w:b/>
                <w:color w:val="00A6C8"/>
                <w:sz w:val="17"/>
              </w:rPr>
              <w:t>NETWORK REFERENCE</w:t>
            </w:r>
          </w:p>
          <w:p>
            <w:r>
              <w:rPr>
                <w:rFonts w:ascii="Aptos Display" w:hAnsi="Aptos Display" w:eastAsia="Aptos Display"/>
                <w:b/>
                <w:color w:val="FFFFFF"/>
                <w:sz w:val="40"/>
              </w:rPr>
              <w:t>AllAmmonia.com</w:t>
            </w:r>
          </w:p>
        </w:tc>
      </w:tr>
    </w:tbl>
    <w:p>
      <w:pPr>
        <w:spacing w:after="0"/>
      </w:pPr>
    </w:p>
    <w:p>
      <w:pPr>
        <w:spacing w:after="20"/>
        <w:jc w:val="center"/>
      </w:pPr>
      <w:r>
        <w:drawing>
          <wp:inline xmlns:a="http://schemas.openxmlformats.org/drawingml/2006/main" xmlns:pic="http://schemas.openxmlformats.org/drawingml/2006/picture">
            <wp:extent cx="5074920" cy="4629006"/>
            <wp:docPr id="13" name="Picture 13"/>
            <wp:cNvGraphicFramePr>
              <a:graphicFrameLocks noChangeAspect="1"/>
            </wp:cNvGraphicFramePr>
            <a:graphic>
              <a:graphicData uri="http://schemas.openxmlformats.org/drawingml/2006/picture">
                <pic:pic>
                  <pic:nvPicPr>
                    <pic:cNvPr id="0" name="allammonia_network.jpg"/>
                    <pic:cNvPicPr/>
                  </pic:nvPicPr>
                  <pic:blipFill>
                    <a:blip r:embed="rId22"/>
                    <a:stretch>
                      <a:fillRect/>
                    </a:stretch>
                  </pic:blipFill>
                  <pic:spPr>
                    <a:xfrm>
                      <a:off x="0" y="0"/>
                      <a:ext cx="5074920" cy="4629006"/>
                    </a:xfrm>
                    <a:prstGeom prst="rect"/>
                  </pic:spPr>
                </pic:pic>
              </a:graphicData>
            </a:graphic>
          </wp:inline>
        </w:drawing>
      </w:r>
    </w:p>
    <w:p>
      <w:pPr>
        <w:pStyle w:val="FigureCaption"/>
        <w:jc w:val="center"/>
      </w:pPr>
      <w:r>
        <w:t>AllAmmonia.com network-development view.</w:t>
      </w:r>
    </w:p>
    <w:p>
      <w:r>
        <w:rPr>
          <w:rFonts w:ascii="Aptos" w:hAnsi="Aptos" w:eastAsia="Aptos"/>
        </w:rPr>
        <w:t>AllAmmonia.com is the developing cross-market network for blue ammonia, green ammonia, e-ammonia, related physical-market portals and dedicated AI intelligence environments.</w:t>
      </w:r>
    </w:p>
    <w:p>
      <w:pPr>
        <w:pStyle w:val="ListBullet"/>
        <w:spacing w:after="40"/>
      </w:pPr>
      <w:r>
        <w:rPr>
          <w:rFonts w:ascii="Aptos" w:hAnsi="Aptos" w:eastAsia="Aptos"/>
          <w:sz w:val="18"/>
        </w:rPr>
        <w:t>BlueAmmonia.com remains the active specialized blue-ammonia portal.</w:t>
      </w:r>
    </w:p>
    <w:p>
      <w:pPr>
        <w:pStyle w:val="ListBullet"/>
        <w:spacing w:after="40"/>
      </w:pPr>
      <w:r>
        <w:rPr>
          <w:rFonts w:ascii="Aptos" w:hAnsi="Aptos" w:eastAsia="Aptos"/>
          <w:sz w:val="18"/>
        </w:rPr>
        <w:t>AllAmmonia.com provides the future umbrella and cross-market discovery concept.</w:t>
      </w:r>
    </w:p>
    <w:p>
      <w:pPr>
        <w:pStyle w:val="ListBullet"/>
        <w:spacing w:after="40"/>
      </w:pPr>
      <w:r>
        <w:rPr>
          <w:rFonts w:ascii="Aptos" w:hAnsi="Aptos" w:eastAsia="Aptos"/>
          <w:sz w:val="18"/>
        </w:rPr>
        <w:t>The two sites may share selected taxonomy, network navigation and platform architecture while retaining separate brands and operational states.</w:t>
      </w:r>
    </w:p>
    <w:p>
      <w:pPr>
        <w:pStyle w:val="ListBullet"/>
        <w:spacing w:after="40"/>
      </w:pPr>
      <w:r>
        <w:rPr>
          <w:rFonts w:ascii="Aptos" w:hAnsi="Aptos" w:eastAsia="Aptos"/>
          <w:sz w:val="18"/>
        </w:rPr>
        <w:t>A link to AllAmmonia does not mean every planned AllAmmonia feature is already live.</w:t>
      </w:r>
    </w:p>
    <w:p>
      <w:r>
        <w:br w:type="page"/>
      </w:r>
    </w:p>
    <w:tbl>
      <w:tblPr>
        <w:tblW w:type="auto" w:w="0"/>
        <w:jc w:val="center"/>
        <w:tblLook w:firstColumn="1" w:firstRow="1" w:lastColumn="0" w:lastRow="0" w:noHBand="0" w:noVBand="1" w:val="04A0"/>
      </w:tblPr>
      <w:tblGrid>
        <w:gridCol w:w="10340"/>
      </w:tblGrid>
      <w:tr>
        <w:trPr>
          <w:cantSplit/>
        </w:trPr>
        <w:tc>
          <w:tcPr>
            <w:tcW w:type="dxa" w:w="10340"/>
            <w:shd w:fill="073B5C"/>
            <w:tcMar>
              <w:top w:w="160" w:type="dxa"/>
              <w:start w:w="190" w:type="dxa"/>
              <w:bottom w:w="150" w:type="dxa"/>
              <w:end w:w="190" w:type="dxa"/>
            </w:tcMar>
          </w:tcPr>
          <w:p>
            <w:r>
              <w:rPr>
                <w:rFonts w:ascii="Aptos" w:hAnsi="Aptos" w:eastAsia="Aptos"/>
                <w:b/>
                <w:color w:val="00A6C8"/>
                <w:sz w:val="17"/>
              </w:rPr>
              <w:t>OPERATOR REFERENCE</w:t>
            </w:r>
          </w:p>
          <w:p>
            <w:r>
              <w:rPr>
                <w:rFonts w:ascii="Aptos Display" w:hAnsi="Aptos Display" w:eastAsia="Aptos Display"/>
                <w:b/>
                <w:color w:val="FFFFFF"/>
                <w:sz w:val="40"/>
              </w:rPr>
              <w:t>Portal Engine, bridge, tunnel, access, and continuity</w:t>
            </w:r>
          </w:p>
        </w:tc>
      </w:tr>
    </w:tbl>
    <w:p>
      <w:pPr>
        <w:spacing w:after="0"/>
      </w:pPr>
    </w:p>
    <w:p>
      <w:pPr>
        <w:pStyle w:val="Heading1"/>
        <w:spacing w:before="0"/>
      </w:pPr>
      <w:r>
        <w:rPr>
          <w:rFonts w:ascii="Aptos Display" w:hAnsi="Aptos Display" w:eastAsia="Aptos Display"/>
          <w:b/>
          <w:color w:val="073B5C"/>
          <w:sz w:val="36"/>
        </w:rPr>
        <w:t>18. Local Setup Console</w:t>
      </w:r>
    </w:p>
    <w:p>
      <w:pPr>
        <w:spacing w:after="20"/>
        <w:jc w:val="center"/>
      </w:pPr>
      <w:r>
        <w:drawing>
          <wp:inline xmlns:a="http://schemas.openxmlformats.org/drawingml/2006/main" xmlns:pic="http://schemas.openxmlformats.org/drawingml/2006/picture">
            <wp:extent cx="4800600" cy="4500562"/>
            <wp:docPr id="14" name="Picture 14"/>
            <wp:cNvGraphicFramePr>
              <a:graphicFrameLocks noChangeAspect="1"/>
            </wp:cNvGraphicFramePr>
            <a:graphic>
              <a:graphicData uri="http://schemas.openxmlformats.org/drawingml/2006/picture">
                <pic:pic>
                  <pic:nvPicPr>
                    <pic:cNvPr id="0" name="setup_console.jpg"/>
                    <pic:cNvPicPr/>
                  </pic:nvPicPr>
                  <pic:blipFill>
                    <a:blip r:embed="rId23"/>
                    <a:stretch>
                      <a:fillRect/>
                    </a:stretch>
                  </pic:blipFill>
                  <pic:spPr>
                    <a:xfrm>
                      <a:off x="0" y="0"/>
                      <a:ext cx="4800600" cy="4500562"/>
                    </a:xfrm>
                    <a:prstGeom prst="rect"/>
                  </pic:spPr>
                </pic:pic>
              </a:graphicData>
            </a:graphic>
          </wp:inline>
        </w:drawing>
      </w:r>
    </w:p>
    <w:p>
      <w:pPr>
        <w:pStyle w:val="FigureCaption"/>
        <w:jc w:val="center"/>
      </w:pPr>
      <w:r>
        <w:t>Local Portal Engine Setup Console showing version, install identity, public Engine URL, access mode, LLM status and WordPress pairing.</w:t>
      </w:r>
    </w:p>
    <w:p>
      <w:pPr>
        <w:pStyle w:val="ListBullet"/>
        <w:spacing w:after="40"/>
      </w:pPr>
      <w:r>
        <w:rPr>
          <w:rFonts w:ascii="Aptos" w:hAnsi="Aptos" w:eastAsia="Aptos"/>
          <w:sz w:val="18"/>
        </w:rPr>
        <w:t>Start the production Engine using the approved START_PORTAL_ENGINE batch file in the canonical build directory.</w:t>
      </w:r>
    </w:p>
    <w:p>
      <w:pPr>
        <w:pStyle w:val="ListBullet"/>
        <w:spacing w:after="40"/>
      </w:pPr>
      <w:r>
        <w:rPr>
          <w:rFonts w:ascii="Aptos" w:hAnsi="Aptos" w:eastAsia="Aptos"/>
          <w:sz w:val="18"/>
        </w:rPr>
        <w:t>Open the local Setup Console and confirm the expected version and install ID.</w:t>
      </w:r>
    </w:p>
    <w:p>
      <w:pPr>
        <w:pStyle w:val="ListBullet"/>
        <w:spacing w:after="40"/>
      </w:pPr>
      <w:r>
        <w:rPr>
          <w:rFonts w:ascii="Aptos" w:hAnsi="Aptos" w:eastAsia="Aptos"/>
          <w:sz w:val="18"/>
        </w:rPr>
        <w:t>Confirm Engine URL is the persistent production endpoint, not a temporary trycloudflare URL.</w:t>
      </w:r>
    </w:p>
    <w:p>
      <w:pPr>
        <w:pStyle w:val="ListBullet"/>
        <w:spacing w:after="40"/>
      </w:pPr>
      <w:r>
        <w:rPr>
          <w:rFonts w:ascii="Aptos" w:hAnsi="Aptos" w:eastAsia="Aptos"/>
          <w:sz w:val="18"/>
        </w:rPr>
        <w:t>Confirm WordPress paired is correct and LLM configured is Yes when live agents are required.</w:t>
      </w:r>
    </w:p>
    <w:p>
      <w:pPr>
        <w:pStyle w:val="ListBullet"/>
        <w:spacing w:after="40"/>
      </w:pPr>
      <w:r>
        <w:rPr>
          <w:rFonts w:ascii="Aptos" w:hAnsi="Aptos" w:eastAsia="Aptos"/>
          <w:sz w:val="18"/>
        </w:rPr>
        <w:t>Use /health locally and through the public Engine hostname for independent transport verification.</w:t>
      </w:r>
    </w:p>
    <w:tbl>
      <w:tblPr>
        <w:tblW w:type="auto" w:w="0"/>
        <w:jc w:val="center"/>
        <w:tblLayout w:type="autofit"/>
        <w:tblLook w:firstColumn="1" w:firstRow="1" w:lastColumn="0" w:lastRow="0" w:noHBand="0" w:noVBand="1" w:val="04A0"/>
      </w:tblPr>
      <w:tblGrid>
        <w:gridCol w:w="10340"/>
      </w:tblGrid>
      <w:tr>
        <w:trPr>
          <w:cantSplit/>
        </w:trPr>
        <w:tc>
          <w:tcPr>
            <w:tcW w:type="dxa" w:w="10340"/>
            <w:shd w:fill="EAF7FB"/>
            <w:tcBorders>
              <w:top w:val="single" w:sz="2" w:color="EAF7FB"/>
              <w:left w:val="single" w:sz="18" w:color="00A6C8"/>
              <w:bottom w:val="single" w:sz="2" w:color="EAF7FB"/>
              <w:right w:val="single" w:sz="2" w:color="EAF7FB"/>
            </w:tcBorders>
            <w:tcMar>
              <w:top w:w="120" w:type="dxa"/>
              <w:start w:w="160" w:type="dxa"/>
              <w:bottom w:w="120" w:type="dxa"/>
              <w:end w:w="160" w:type="dxa"/>
            </w:tcMar>
          </w:tcPr>
          <w:p>
            <w:r>
              <w:rPr>
                <w:rFonts w:ascii="Aptos" w:hAnsi="Aptos" w:eastAsia="Aptos"/>
                <w:b/>
                <w:color w:val="073B5C"/>
                <w:sz w:val="20"/>
              </w:rPr>
              <w:t>Root-path behavior</w:t>
            </w:r>
          </w:p>
          <w:p>
            <w:pPr>
              <w:spacing w:after="0"/>
            </w:pPr>
            <w:r>
              <w:rPr>
                <w:rFonts w:ascii="Aptos" w:hAnsi="Aptos" w:eastAsia="Aptos"/>
                <w:color w:val="0E2D3E"/>
                <w:sz w:val="18"/>
              </w:rPr>
              <w:t>The Engine root may return a JSON Not Found response by design. Use /health and /setup for validation rather than treating the root response as an outage.</w:t>
            </w:r>
          </w:p>
        </w:tc>
      </w:tr>
    </w:tbl>
    <w:p>
      <w:pPr>
        <w:spacing w:after="0"/>
      </w:pPr>
    </w:p>
    <w:p>
      <w:r>
        <w:br w:type="page"/>
      </w:r>
    </w:p>
    <w:p>
      <w:pPr>
        <w:pStyle w:val="Heading1"/>
        <w:spacing w:before="0"/>
      </w:pPr>
      <w:r>
        <w:rPr>
          <w:rFonts w:ascii="Aptos Display" w:hAnsi="Aptos Display" w:eastAsia="Aptos Display"/>
          <w:b/>
          <w:color w:val="073B5C"/>
          <w:sz w:val="36"/>
        </w:rPr>
        <w:t>19. WordPress Enterprise Bridge</w:t>
      </w:r>
    </w:p>
    <w:p>
      <w:pPr>
        <w:spacing w:after="20"/>
        <w:jc w:val="center"/>
      </w:pPr>
      <w:r>
        <w:drawing>
          <wp:inline xmlns:a="http://schemas.openxmlformats.org/drawingml/2006/main" xmlns:pic="http://schemas.openxmlformats.org/drawingml/2006/picture">
            <wp:extent cx="4572000" cy="4318000"/>
            <wp:docPr id="15" name="Picture 15"/>
            <wp:cNvGraphicFramePr>
              <a:graphicFrameLocks noChangeAspect="1"/>
            </wp:cNvGraphicFramePr>
            <a:graphic>
              <a:graphicData uri="http://schemas.openxmlformats.org/drawingml/2006/picture">
                <pic:pic>
                  <pic:nvPicPr>
                    <pic:cNvPr id="0" name="bridge_admin.jpg"/>
                    <pic:cNvPicPr/>
                  </pic:nvPicPr>
                  <pic:blipFill>
                    <a:blip r:embed="rId24"/>
                    <a:stretch>
                      <a:fillRect/>
                    </a:stretch>
                  </pic:blipFill>
                  <pic:spPr>
                    <a:xfrm>
                      <a:off x="0" y="0"/>
                      <a:ext cx="4572000" cy="4318000"/>
                    </a:xfrm>
                    <a:prstGeom prst="rect"/>
                  </pic:spPr>
                </pic:pic>
              </a:graphicData>
            </a:graphic>
          </wp:inline>
        </w:drawing>
      </w:r>
    </w:p>
    <w:p>
      <w:pPr>
        <w:pStyle w:val="FigureCaption"/>
        <w:jc w:val="center"/>
      </w:pPr>
      <w:r>
        <w:t>Enterprise bridge administration page with synchronization, access mode, security mode, manifest and Engine pairing.</w:t>
      </w:r>
    </w:p>
    <w:tbl>
      <w:tblPr>
        <w:tblStyle w:val="TableGrid"/>
        <w:tblW w:type="auto" w:w="0"/>
        <w:jc w:val="center"/>
        <w:tblLook w:firstColumn="1" w:firstRow="1" w:lastColumn="0" w:lastRow="0" w:noHBand="0" w:noVBand="1" w:val="04A0"/>
      </w:tblPr>
      <w:tblGrid>
        <w:gridCol w:w="5170"/>
        <w:gridCol w:w="5170"/>
      </w:tblGrid>
      <w:tr>
        <w:trPr>
          <w:tblHeader w:val="true"/>
        </w:trPr>
        <w:tc>
          <w:tcPr>
            <w:tcW w:type="dxa" w:w="2592"/>
            <w:shd w:fill="073B5C"/>
            <w:tcMar>
              <w:top w:w="90" w:type="dxa"/>
              <w:start w:w="100" w:type="dxa"/>
              <w:bottom w:w="90" w:type="dxa"/>
              <w:end w:w="100" w:type="dxa"/>
            </w:tcMar>
          </w:tcPr>
          <w:p>
            <w:pPr>
              <w:jc w:val="left"/>
            </w:pPr>
            <w:r>
              <w:rPr>
                <w:rFonts w:ascii="Aptos" w:hAnsi="Aptos" w:eastAsia="Aptos"/>
                <w:b/>
                <w:color w:val="FFFFFF"/>
                <w:sz w:val="18"/>
              </w:rPr>
              <w:t>Control</w:t>
            </w:r>
          </w:p>
        </w:tc>
        <w:tc>
          <w:tcPr>
            <w:tcW w:type="dxa" w:w="7200"/>
            <w:shd w:fill="073B5C"/>
            <w:tcMar>
              <w:top w:w="90" w:type="dxa"/>
              <w:start w:w="100" w:type="dxa"/>
              <w:bottom w:w="90" w:type="dxa"/>
              <w:end w:w="100" w:type="dxa"/>
            </w:tcMar>
          </w:tcPr>
          <w:p>
            <w:pPr>
              <w:jc w:val="left"/>
            </w:pPr>
            <w:r>
              <w:rPr>
                <w:rFonts w:ascii="Aptos" w:hAnsi="Aptos" w:eastAsia="Aptos"/>
                <w:b/>
                <w:color w:val="FFFFFF"/>
                <w:sz w:val="18"/>
              </w:rPr>
              <w:t>Operator Use</w:t>
            </w:r>
          </w:p>
        </w:tc>
      </w:tr>
      <w:tr>
        <w:tc>
          <w:tcPr>
            <w:tcW w:type="dxa" w:w="2592"/>
            <w:tcMar>
              <w:top w:w="75" w:type="dxa"/>
              <w:start w:w="90" w:type="dxa"/>
              <w:bottom w:w="75" w:type="dxa"/>
              <w:end w:w="90" w:type="dxa"/>
            </w:tcMar>
            <w:vAlign w:val="top"/>
          </w:tcPr>
          <w:p>
            <w:r>
              <w:rPr>
                <w:rFonts w:ascii="Aptos" w:hAnsi="Aptos" w:eastAsia="Aptos"/>
                <w:color w:val="0E2D3E"/>
                <w:sz w:val="17"/>
              </w:rPr>
              <w:t>Engine URL / Pairing</w:t>
            </w:r>
          </w:p>
        </w:tc>
        <w:tc>
          <w:tcPr>
            <w:tcW w:type="dxa" w:w="7200"/>
            <w:tcMar>
              <w:top w:w="75" w:type="dxa"/>
              <w:start w:w="90" w:type="dxa"/>
              <w:bottom w:w="75" w:type="dxa"/>
              <w:end w:w="90" w:type="dxa"/>
            </w:tcMar>
            <w:vAlign w:val="top"/>
          </w:tcPr>
          <w:p>
            <w:r>
              <w:rPr>
                <w:rFonts w:ascii="Aptos" w:hAnsi="Aptos" w:eastAsia="Aptos"/>
                <w:color w:val="0E2D3E"/>
                <w:sz w:val="17"/>
              </w:rPr>
              <w:t>Connect WordPress to the approved persistent Engine endpoint using the one-time pairing workflow.</w:t>
            </w:r>
          </w:p>
        </w:tc>
      </w:tr>
      <w:tr>
        <w:tc>
          <w:tcPr>
            <w:tcW w:type="dxa" w:w="2592"/>
            <w:tcMar>
              <w:top w:w="75" w:type="dxa"/>
              <w:start w:w="90" w:type="dxa"/>
              <w:bottom w:w="75" w:type="dxa"/>
              <w:end w:w="90" w:type="dxa"/>
            </w:tcMar>
            <w:shd w:fill="F4FAFC"/>
            <w:vAlign w:val="top"/>
          </w:tcPr>
          <w:p>
            <w:r>
              <w:rPr>
                <w:rFonts w:ascii="Aptos" w:hAnsi="Aptos" w:eastAsia="Aptos"/>
                <w:color w:val="0E2D3E"/>
                <w:sz w:val="17"/>
              </w:rPr>
              <w:t>Build / Synchronize Portal</w:t>
            </w:r>
          </w:p>
        </w:tc>
        <w:tc>
          <w:tcPr>
            <w:tcW w:type="dxa" w:w="7200"/>
            <w:tcMar>
              <w:top w:w="75" w:type="dxa"/>
              <w:start w:w="90" w:type="dxa"/>
              <w:bottom w:w="75" w:type="dxa"/>
              <w:end w:w="90" w:type="dxa"/>
            </w:tcMar>
            <w:shd w:fill="F4FAFC"/>
            <w:vAlign w:val="top"/>
          </w:tcPr>
          <w:p>
            <w:r>
              <w:rPr>
                <w:rFonts w:ascii="Aptos" w:hAnsi="Aptos" w:eastAsia="Aptos"/>
                <w:color w:val="0E2D3E"/>
                <w:sz w:val="17"/>
              </w:rPr>
              <w:t>Create or update synchronized portal pages and warm continuity snapshots.</w:t>
            </w:r>
          </w:p>
        </w:tc>
      </w:tr>
      <w:tr>
        <w:tc>
          <w:tcPr>
            <w:tcW w:type="dxa" w:w="2592"/>
            <w:tcMar>
              <w:top w:w="75" w:type="dxa"/>
              <w:start w:w="90" w:type="dxa"/>
              <w:bottom w:w="75" w:type="dxa"/>
              <w:end w:w="90" w:type="dxa"/>
            </w:tcMar>
            <w:vAlign w:val="top"/>
          </w:tcPr>
          <w:p>
            <w:r>
              <w:rPr>
                <w:rFonts w:ascii="Aptos" w:hAnsi="Aptos" w:eastAsia="Aptos"/>
                <w:color w:val="0E2D3E"/>
                <w:sz w:val="17"/>
              </w:rPr>
              <w:t>Access Mode</w:t>
            </w:r>
          </w:p>
        </w:tc>
        <w:tc>
          <w:tcPr>
            <w:tcW w:type="dxa" w:w="7200"/>
            <w:tcMar>
              <w:top w:w="75" w:type="dxa"/>
              <w:start w:w="90" w:type="dxa"/>
              <w:bottom w:w="75" w:type="dxa"/>
              <w:end w:w="90" w:type="dxa"/>
            </w:tcMar>
            <w:vAlign w:val="top"/>
          </w:tcPr>
          <w:p>
            <w:r>
              <w:rPr>
                <w:rFonts w:ascii="Aptos" w:hAnsi="Aptos" w:eastAsia="Aptos"/>
                <w:color w:val="0E2D3E"/>
                <w:sz w:val="17"/>
              </w:rPr>
              <w:t>Set Open or Restricted behavior; verify anonymously after changing.</w:t>
            </w:r>
          </w:p>
        </w:tc>
      </w:tr>
      <w:tr>
        <w:tc>
          <w:tcPr>
            <w:tcW w:type="dxa" w:w="2592"/>
            <w:tcMar>
              <w:top w:w="75" w:type="dxa"/>
              <w:start w:w="90" w:type="dxa"/>
              <w:bottom w:w="75" w:type="dxa"/>
              <w:end w:w="90" w:type="dxa"/>
            </w:tcMar>
            <w:shd w:fill="F4FAFC"/>
            <w:vAlign w:val="top"/>
          </w:tcPr>
          <w:p>
            <w:r>
              <w:rPr>
                <w:rFonts w:ascii="Aptos" w:hAnsi="Aptos" w:eastAsia="Aptos"/>
                <w:color w:val="0E2D3E"/>
                <w:sz w:val="17"/>
              </w:rPr>
              <w:t>Security Enforcement</w:t>
            </w:r>
          </w:p>
        </w:tc>
        <w:tc>
          <w:tcPr>
            <w:tcW w:type="dxa" w:w="7200"/>
            <w:tcMar>
              <w:top w:w="75" w:type="dxa"/>
              <w:start w:w="90" w:type="dxa"/>
              <w:bottom w:w="75" w:type="dxa"/>
              <w:end w:w="90" w:type="dxa"/>
            </w:tcMar>
            <w:shd w:fill="F4FAFC"/>
            <w:vAlign w:val="top"/>
          </w:tcPr>
          <w:p>
            <w:r>
              <w:rPr>
                <w:rFonts w:ascii="Aptos" w:hAnsi="Aptos" w:eastAsia="Aptos"/>
                <w:color w:val="0E2D3E"/>
                <w:sz w:val="17"/>
              </w:rPr>
              <w:t>Observe during first deployment, then enable high/critical request blocks after testing.</w:t>
            </w:r>
          </w:p>
        </w:tc>
      </w:tr>
      <w:tr>
        <w:tc>
          <w:tcPr>
            <w:tcW w:type="dxa" w:w="2592"/>
            <w:tcMar>
              <w:top w:w="75" w:type="dxa"/>
              <w:start w:w="90" w:type="dxa"/>
              <w:bottom w:w="75" w:type="dxa"/>
              <w:end w:w="90" w:type="dxa"/>
            </w:tcMar>
            <w:vAlign w:val="top"/>
          </w:tcPr>
          <w:p>
            <w:r>
              <w:rPr>
                <w:rFonts w:ascii="Aptos" w:hAnsi="Aptos" w:eastAsia="Aptos"/>
                <w:color w:val="0E2D3E"/>
                <w:sz w:val="17"/>
              </w:rPr>
              <w:t>Engine Health</w:t>
            </w:r>
          </w:p>
        </w:tc>
        <w:tc>
          <w:tcPr>
            <w:tcW w:type="dxa" w:w="7200"/>
            <w:tcMar>
              <w:top w:w="75" w:type="dxa"/>
              <w:start w:w="90" w:type="dxa"/>
              <w:bottom w:w="75" w:type="dxa"/>
              <w:end w:w="90" w:type="dxa"/>
            </w:tcMar>
            <w:vAlign w:val="top"/>
          </w:tcPr>
          <w:p>
            <w:r>
              <w:rPr>
                <w:rFonts w:ascii="Aptos" w:hAnsi="Aptos" w:eastAsia="Aptos"/>
                <w:color w:val="0E2D3E"/>
                <w:sz w:val="17"/>
              </w:rPr>
              <w:t>Review the current Engine status returned through the bridge.</w:t>
            </w:r>
          </w:p>
        </w:tc>
      </w:tr>
      <w:tr>
        <w:tc>
          <w:tcPr>
            <w:tcW w:type="dxa" w:w="2592"/>
            <w:tcMar>
              <w:top w:w="75" w:type="dxa"/>
              <w:start w:w="90" w:type="dxa"/>
              <w:bottom w:w="75" w:type="dxa"/>
              <w:end w:w="90" w:type="dxa"/>
            </w:tcMar>
            <w:shd w:fill="F4FAFC"/>
            <w:vAlign w:val="top"/>
          </w:tcPr>
          <w:p>
            <w:r>
              <w:rPr>
                <w:rFonts w:ascii="Aptos" w:hAnsi="Aptos" w:eastAsia="Aptos"/>
                <w:color w:val="0E2D3E"/>
                <w:sz w:val="17"/>
              </w:rPr>
              <w:t>Manifest Version</w:t>
            </w:r>
          </w:p>
        </w:tc>
        <w:tc>
          <w:tcPr>
            <w:tcW w:type="dxa" w:w="7200"/>
            <w:tcMar>
              <w:top w:w="75" w:type="dxa"/>
              <w:start w:w="90" w:type="dxa"/>
              <w:bottom w:w="75" w:type="dxa"/>
              <w:end w:w="90" w:type="dxa"/>
            </w:tcMar>
            <w:shd w:fill="F4FAFC"/>
            <w:vAlign w:val="top"/>
          </w:tcPr>
          <w:p>
            <w:r>
              <w:rPr>
                <w:rFonts w:ascii="Aptos" w:hAnsi="Aptos" w:eastAsia="Aptos"/>
                <w:color w:val="0E2D3E"/>
                <w:sz w:val="17"/>
              </w:rPr>
              <w:t>Confirm the synchronized route manifest matches the intended build.</w:t>
            </w:r>
          </w:p>
        </w:tc>
      </w:tr>
      <w:tr>
        <w:tc>
          <w:tcPr>
            <w:tcW w:type="dxa" w:w="5170"/>
          </w:tcPr>
          <w:p>
            <w:r>
              <w:t>Secret handling</w:t>
            </w:r>
          </w:p>
        </w:tc>
        <w:tc>
          <w:tcPr>
            <w:tcW w:type="dxa" w:w="5170"/>
          </w:tcPr>
          <w:p>
            <w:r>
              <w:t>Never display the exchanged shared secret, LLM API key, internal license data, recovery secrets, or proprietary source code.</w:t>
            </w:r>
          </w:p>
        </w:tc>
      </w:tr>
    </w:tbl>
    <w:p>
      <w:pPr>
        <w:spacing w:after="20"/>
      </w:pPr>
    </w:p>
    <w:p>
      <w:pPr>
        <w:spacing w:after="0"/>
      </w:pPr>
    </w:p>
    <w:p>
      <w:pPr>
        <w:pStyle w:val="Heading1"/>
        <w:spacing w:before="0"/>
      </w:pPr>
      <w:r>
        <w:rPr>
          <w:rFonts w:ascii="Aptos Display" w:hAnsi="Aptos Display" w:eastAsia="Aptos Display"/>
          <w:b/>
          <w:color w:val="073B5C"/>
          <w:sz w:val="36"/>
        </w:rPr>
        <w:t>20. Production and Staging Isolation</w:t>
      </w:r>
    </w:p>
    <w:tbl>
      <w:tblPr>
        <w:tblStyle w:val="TableGrid"/>
        <w:tblW w:type="auto" w:w="0"/>
        <w:jc w:val="center"/>
        <w:tblLook w:firstColumn="1" w:firstRow="1" w:lastColumn="0" w:lastRow="0" w:noHBand="0" w:noVBand="1" w:val="04A0"/>
      </w:tblPr>
      <w:tblGrid>
        <w:gridCol w:w="5170"/>
        <w:gridCol w:w="5170"/>
      </w:tblGrid>
      <w:tr>
        <w:trPr>
          <w:tblHeader w:val="true"/>
        </w:trPr>
        <w:tc>
          <w:tcPr>
            <w:tcW w:type="dxa" w:w="4824"/>
            <w:shd w:fill="073B5C"/>
            <w:tcMar>
              <w:top w:w="90" w:type="dxa"/>
              <w:start w:w="100" w:type="dxa"/>
              <w:bottom w:w="90" w:type="dxa"/>
              <w:end w:w="100" w:type="dxa"/>
            </w:tcMar>
          </w:tcPr>
          <w:p>
            <w:pPr>
              <w:jc w:val="left"/>
            </w:pPr>
            <w:r>
              <w:rPr>
                <w:rFonts w:ascii="Aptos" w:hAnsi="Aptos" w:eastAsia="Aptos"/>
                <w:b/>
                <w:color w:val="FFFFFF"/>
                <w:sz w:val="18"/>
              </w:rPr>
              <w:t>Production</w:t>
            </w:r>
          </w:p>
        </w:tc>
        <w:tc>
          <w:tcPr>
            <w:tcW w:type="dxa" w:w="4824"/>
            <w:shd w:fill="073B5C"/>
            <w:tcMar>
              <w:top w:w="90" w:type="dxa"/>
              <w:start w:w="100" w:type="dxa"/>
              <w:bottom w:w="90" w:type="dxa"/>
              <w:end w:w="100" w:type="dxa"/>
            </w:tcMar>
          </w:tcPr>
          <w:p>
            <w:pPr>
              <w:jc w:val="left"/>
            </w:pPr>
            <w:r>
              <w:rPr>
                <w:rFonts w:ascii="Aptos" w:hAnsi="Aptos" w:eastAsia="Aptos"/>
                <w:b/>
                <w:color w:val="FFFFFF"/>
                <w:sz w:val="18"/>
              </w:rPr>
              <w:t>Staging</w:t>
            </w:r>
          </w:p>
        </w:tc>
      </w:tr>
      <w:tr>
        <w:tc>
          <w:tcPr>
            <w:tcW w:type="dxa" w:w="4824"/>
            <w:tcMar>
              <w:top w:w="75" w:type="dxa"/>
              <w:start w:w="90" w:type="dxa"/>
              <w:bottom w:w="75" w:type="dxa"/>
              <w:end w:w="90" w:type="dxa"/>
            </w:tcMar>
            <w:vAlign w:val="top"/>
          </w:tcPr>
          <w:p>
            <w:r>
              <w:rPr>
                <w:rFonts w:ascii="Aptos" w:hAnsi="Aptos" w:eastAsia="Aptos"/>
                <w:color w:val="0E2D3E"/>
                <w:sz w:val="17"/>
              </w:rPr>
              <w:t>Local port 8088</w:t>
            </w:r>
          </w:p>
        </w:tc>
        <w:tc>
          <w:tcPr>
            <w:tcW w:type="dxa" w:w="4824"/>
            <w:tcMar>
              <w:top w:w="75" w:type="dxa"/>
              <w:start w:w="90" w:type="dxa"/>
              <w:bottom w:w="75" w:type="dxa"/>
              <w:end w:w="90" w:type="dxa"/>
            </w:tcMar>
            <w:vAlign w:val="top"/>
          </w:tcPr>
          <w:p>
            <w:r>
              <w:rPr>
                <w:rFonts w:ascii="Aptos" w:hAnsi="Aptos" w:eastAsia="Aptos"/>
                <w:color w:val="0E2D3E"/>
                <w:sz w:val="17"/>
              </w:rPr>
              <w:t>Local port 8098</w:t>
            </w:r>
          </w:p>
        </w:tc>
      </w:tr>
      <w:tr>
        <w:tc>
          <w:tcPr>
            <w:tcW w:type="dxa" w:w="4824"/>
            <w:tcMar>
              <w:top w:w="75" w:type="dxa"/>
              <w:start w:w="90" w:type="dxa"/>
              <w:bottom w:w="75" w:type="dxa"/>
              <w:end w:w="90" w:type="dxa"/>
            </w:tcMar>
            <w:shd w:fill="F4FAFC"/>
            <w:vAlign w:val="top"/>
          </w:tcPr>
          <w:p>
            <w:r>
              <w:rPr>
                <w:rFonts w:ascii="Aptos" w:hAnsi="Aptos" w:eastAsia="Aptos"/>
                <w:color w:val="0E2D3E"/>
                <w:sz w:val="17"/>
              </w:rPr>
              <w:t>https://engine.blueammonia.ai</w:t>
            </w:r>
          </w:p>
        </w:tc>
        <w:tc>
          <w:tcPr>
            <w:tcW w:type="dxa" w:w="4824"/>
            <w:tcMar>
              <w:top w:w="75" w:type="dxa"/>
              <w:start w:w="90" w:type="dxa"/>
              <w:bottom w:w="75" w:type="dxa"/>
              <w:end w:w="90" w:type="dxa"/>
            </w:tcMar>
            <w:shd w:fill="F4FAFC"/>
            <w:vAlign w:val="top"/>
          </w:tcPr>
          <w:p>
            <w:r>
              <w:rPr>
                <w:rFonts w:ascii="Aptos" w:hAnsi="Aptos" w:eastAsia="Aptos"/>
                <w:color w:val="0E2D3E"/>
                <w:sz w:val="17"/>
              </w:rPr>
              <w:t>https://stage-engine.blueammonia.ai</w:t>
            </w:r>
          </w:p>
        </w:tc>
      </w:tr>
      <w:tr>
        <w:tc>
          <w:tcPr>
            <w:tcW w:type="dxa" w:w="4824"/>
            <w:tcMar>
              <w:top w:w="75" w:type="dxa"/>
              <w:start w:w="90" w:type="dxa"/>
              <w:bottom w:w="75" w:type="dxa"/>
              <w:end w:w="90" w:type="dxa"/>
            </w:tcMar>
            <w:vAlign w:val="top"/>
          </w:tcPr>
          <w:p>
            <w:r>
              <w:rPr>
                <w:rFonts w:ascii="Aptos" w:hAnsi="Aptos" w:eastAsia="Aptos"/>
                <w:color w:val="0E2D3E"/>
                <w:sz w:val="17"/>
              </w:rPr>
              <w:t>Production WordPress / BlueAmmonia.com</w:t>
            </w:r>
          </w:p>
        </w:tc>
        <w:tc>
          <w:tcPr>
            <w:tcW w:type="dxa" w:w="4824"/>
            <w:tcMar>
              <w:top w:w="75" w:type="dxa"/>
              <w:start w:w="90" w:type="dxa"/>
              <w:bottom w:w="75" w:type="dxa"/>
              <w:end w:w="90" w:type="dxa"/>
            </w:tcMar>
            <w:vAlign w:val="top"/>
          </w:tcPr>
          <w:p>
            <w:r>
              <w:rPr>
                <w:rFonts w:ascii="Aptos" w:hAnsi="Aptos" w:eastAsia="Aptos"/>
                <w:color w:val="0E2D3E"/>
                <w:sz w:val="17"/>
              </w:rPr>
              <w:t>Isolated staging WordPress host</w:t>
            </w:r>
          </w:p>
        </w:tc>
      </w:tr>
      <w:tr>
        <w:tc>
          <w:tcPr>
            <w:tcW w:type="dxa" w:w="4824"/>
            <w:tcMar>
              <w:top w:w="75" w:type="dxa"/>
              <w:start w:w="90" w:type="dxa"/>
              <w:bottom w:w="75" w:type="dxa"/>
              <w:end w:w="90" w:type="dxa"/>
            </w:tcMar>
            <w:shd w:fill="F4FAFC"/>
            <w:vAlign w:val="top"/>
          </w:tcPr>
          <w:p>
            <w:r>
              <w:rPr>
                <w:rFonts w:ascii="Aptos" w:hAnsi="Aptos" w:eastAsia="Aptos"/>
                <w:color w:val="0E2D3E"/>
                <w:sz w:val="17"/>
              </w:rPr>
              <w:t>Live payments and production account behavior</w:t>
            </w:r>
          </w:p>
        </w:tc>
        <w:tc>
          <w:tcPr>
            <w:tcW w:type="dxa" w:w="4824"/>
            <w:tcMar>
              <w:top w:w="75" w:type="dxa"/>
              <w:start w:w="90" w:type="dxa"/>
              <w:bottom w:w="75" w:type="dxa"/>
              <w:end w:w="90" w:type="dxa"/>
            </w:tcMar>
            <w:shd w:fill="F4FAFC"/>
            <w:vAlign w:val="top"/>
          </w:tcPr>
          <w:p>
            <w:r>
              <w:rPr>
                <w:rFonts w:ascii="Aptos" w:hAnsi="Aptos" w:eastAsia="Aptos"/>
                <w:color w:val="0E2D3E"/>
                <w:sz w:val="17"/>
              </w:rPr>
              <w:t>Payments disabled; separate trial/test behavior</w:t>
            </w:r>
          </w:p>
        </w:tc>
      </w:tr>
      <w:tr>
        <w:tc>
          <w:tcPr>
            <w:tcW w:type="dxa" w:w="4824"/>
            <w:tcMar>
              <w:top w:w="75" w:type="dxa"/>
              <w:start w:w="90" w:type="dxa"/>
              <w:bottom w:w="75" w:type="dxa"/>
              <w:end w:w="90" w:type="dxa"/>
            </w:tcMar>
            <w:vAlign w:val="top"/>
          </w:tcPr>
          <w:p>
            <w:r>
              <w:rPr>
                <w:rFonts w:ascii="Aptos" w:hAnsi="Aptos" w:eastAsia="Aptos"/>
                <w:color w:val="0E2D3E"/>
                <w:sz w:val="17"/>
              </w:rPr>
              <w:t>Production install ID and state</w:t>
            </w:r>
          </w:p>
        </w:tc>
        <w:tc>
          <w:tcPr>
            <w:tcW w:type="dxa" w:w="4824"/>
            <w:tcMar>
              <w:top w:w="75" w:type="dxa"/>
              <w:start w:w="90" w:type="dxa"/>
              <w:bottom w:w="75" w:type="dxa"/>
              <w:end w:w="90" w:type="dxa"/>
            </w:tcMar>
            <w:vAlign w:val="top"/>
          </w:tcPr>
          <w:p>
            <w:r>
              <w:rPr>
                <w:rFonts w:ascii="Aptos" w:hAnsi="Aptos" w:eastAsia="Aptos"/>
                <w:color w:val="0E2D3E"/>
                <w:sz w:val="17"/>
              </w:rPr>
              <w:t>Different staging install ID and mutable state</w:t>
            </w:r>
          </w:p>
        </w:tc>
      </w:tr>
      <w:tr>
        <w:tc>
          <w:tcPr>
            <w:tcW w:type="dxa" w:w="4824"/>
            <w:tcMar>
              <w:top w:w="75" w:type="dxa"/>
              <w:start w:w="90" w:type="dxa"/>
              <w:bottom w:w="75" w:type="dxa"/>
              <w:end w:w="90" w:type="dxa"/>
            </w:tcMar>
            <w:shd w:fill="F4FAFC"/>
            <w:vAlign w:val="top"/>
          </w:tcPr>
          <w:p>
            <w:r>
              <w:rPr>
                <w:rFonts w:ascii="Aptos" w:hAnsi="Aptos" w:eastAsia="Aptos"/>
                <w:color w:val="0E2D3E"/>
                <w:sz w:val="17"/>
              </w:rPr>
              <w:t>Production bridge</w:t>
            </w:r>
          </w:p>
        </w:tc>
        <w:tc>
          <w:tcPr>
            <w:tcW w:type="dxa" w:w="4824"/>
            <w:tcMar>
              <w:top w:w="75" w:type="dxa"/>
              <w:start w:w="90" w:type="dxa"/>
              <w:bottom w:w="75" w:type="dxa"/>
              <w:end w:w="90" w:type="dxa"/>
            </w:tcMar>
            <w:shd w:fill="F4FAFC"/>
            <w:vAlign w:val="top"/>
          </w:tcPr>
          <w:p>
            <w:r>
              <w:rPr>
                <w:rFonts w:ascii="Aptos" w:hAnsi="Aptos" w:eastAsia="Aptos"/>
                <w:color w:val="0E2D3E"/>
                <w:sz w:val="17"/>
              </w:rPr>
              <w:t>Staging-only bridge that rejects production endpoint and copied production identity</w:t>
            </w:r>
          </w:p>
        </w:tc>
      </w:tr>
    </w:tbl>
    <w:p>
      <w:pPr>
        <w:spacing w:after="20"/>
      </w:pPr>
    </w:p>
    <w:p>
      <w:pPr>
        <w:pStyle w:val="ListBullet"/>
        <w:spacing w:after="40"/>
      </w:pPr>
      <w:r>
        <w:rPr>
          <w:rFonts w:ascii="Aptos" w:hAnsi="Aptos" w:eastAsia="Aptos"/>
          <w:sz w:val="18"/>
        </w:rPr>
        <w:t>Do not point the staging bridge at the production Engine.</w:t>
      </w:r>
    </w:p>
    <w:p>
      <w:pPr>
        <w:pStyle w:val="ListBullet"/>
        <w:spacing w:after="40"/>
      </w:pPr>
      <w:r>
        <w:rPr>
          <w:rFonts w:ascii="Aptos" w:hAnsi="Aptos" w:eastAsia="Aptos"/>
          <w:sz w:val="18"/>
        </w:rPr>
        <w:t>Do not share mutable state, payment adapters, pairing secrets or install IDs.</w:t>
      </w:r>
    </w:p>
    <w:p>
      <w:pPr>
        <w:pStyle w:val="ListBullet"/>
        <w:spacing w:after="40"/>
      </w:pPr>
      <w:r>
        <w:rPr>
          <w:rFonts w:ascii="Aptos" w:hAnsi="Aptos" w:eastAsia="Aptos"/>
          <w:sz w:val="18"/>
        </w:rPr>
        <w:t>Use staging for agent-refresh, front-door, access, map and feature testing before production patches.</w:t>
      </w:r>
    </w:p>
    <w:p>
      <w:pPr>
        <w:pStyle w:val="ListBullet"/>
        <w:spacing w:after="40"/>
      </w:pPr>
      <w:r>
        <w:rPr>
          <w:rFonts w:ascii="Aptos" w:hAnsi="Aptos" w:eastAsia="Aptos"/>
          <w:sz w:val="18"/>
        </w:rPr>
        <w:t>A cloned WordPress site may preserve pages, but staging pairing should not synchronize or modify production state.</w:t>
      </w:r>
    </w:p>
    <w:p>
      <w:r>
        <w:br w:type="page"/>
      </w:r>
    </w:p>
    <w:p>
      <w:pPr>
        <w:pStyle w:val="Heading1"/>
        <w:spacing w:before="0"/>
      </w:pPr>
      <w:r>
        <w:rPr>
          <w:rFonts w:ascii="Aptos Display" w:hAnsi="Aptos Display" w:eastAsia="Aptos Display"/>
          <w:b/>
          <w:color w:val="073B5C"/>
          <w:sz w:val="36"/>
        </w:rPr>
        <w:t>21. Health, Continuity, and Troubleshooting</w:t>
      </w:r>
    </w:p>
    <w:tbl>
      <w:tblPr>
        <w:tblStyle w:val="TableGrid"/>
        <w:tblW w:type="auto" w:w="0"/>
        <w:jc w:val="center"/>
        <w:tblLook w:firstColumn="1" w:firstRow="1" w:lastColumn="0" w:lastRow="0" w:noHBand="0" w:noVBand="1" w:val="04A0"/>
      </w:tblPr>
      <w:tblGrid>
        <w:gridCol w:w="5170"/>
        <w:gridCol w:w="5170"/>
      </w:tblGrid>
      <w:tr>
        <w:trPr>
          <w:tblHeader w:val="true"/>
        </w:trPr>
        <w:tc>
          <w:tcPr>
            <w:tcW w:type="dxa" w:w="3024"/>
            <w:shd w:fill="073B5C"/>
            <w:tcMar>
              <w:top w:w="90" w:type="dxa"/>
              <w:start w:w="100" w:type="dxa"/>
              <w:bottom w:w="90" w:type="dxa"/>
              <w:end w:w="100" w:type="dxa"/>
            </w:tcMar>
          </w:tcPr>
          <w:p>
            <w:pPr>
              <w:jc w:val="left"/>
            </w:pPr>
            <w:r>
              <w:rPr>
                <w:rFonts w:ascii="Aptos" w:hAnsi="Aptos" w:eastAsia="Aptos"/>
                <w:b/>
                <w:color w:val="FFFFFF"/>
                <w:sz w:val="18"/>
              </w:rPr>
              <w:t>Symptom</w:t>
            </w:r>
          </w:p>
        </w:tc>
        <w:tc>
          <w:tcPr>
            <w:tcW w:type="dxa" w:w="6768"/>
            <w:shd w:fill="073B5C"/>
            <w:tcMar>
              <w:top w:w="90" w:type="dxa"/>
              <w:start w:w="100" w:type="dxa"/>
              <w:bottom w:w="90" w:type="dxa"/>
              <w:end w:w="100" w:type="dxa"/>
            </w:tcMar>
          </w:tcPr>
          <w:p>
            <w:pPr>
              <w:jc w:val="left"/>
            </w:pPr>
            <w:r>
              <w:rPr>
                <w:rFonts w:ascii="Aptos" w:hAnsi="Aptos" w:eastAsia="Aptos"/>
                <w:b/>
                <w:color w:val="FFFFFF"/>
                <w:sz w:val="18"/>
              </w:rPr>
              <w:t>Likely Cause / Action</w:t>
            </w:r>
          </w:p>
        </w:tc>
      </w:tr>
      <w:tr>
        <w:tc>
          <w:tcPr>
            <w:tcW w:type="dxa" w:w="3024"/>
            <w:tcMar>
              <w:top w:w="75" w:type="dxa"/>
              <w:start w:w="90" w:type="dxa"/>
              <w:bottom w:w="75" w:type="dxa"/>
              <w:end w:w="90" w:type="dxa"/>
            </w:tcMar>
            <w:vAlign w:val="top"/>
          </w:tcPr>
          <w:p>
            <w:r>
              <w:rPr>
                <w:rFonts w:ascii="Aptos" w:hAnsi="Aptos" w:eastAsia="Aptos"/>
                <w:color w:val="0E2D3E"/>
                <w:sz w:val="16"/>
              </w:rPr>
              <w:t>Homepage shows continuity banner</w:t>
            </w:r>
          </w:p>
        </w:tc>
        <w:tc>
          <w:tcPr>
            <w:tcW w:type="dxa" w:w="6768"/>
            <w:tcMar>
              <w:top w:w="75" w:type="dxa"/>
              <w:start w:w="90" w:type="dxa"/>
              <w:bottom w:w="75" w:type="dxa"/>
              <w:end w:w="90" w:type="dxa"/>
            </w:tcMar>
            <w:vAlign w:val="top"/>
          </w:tcPr>
          <w:p>
            <w:r>
              <w:rPr>
                <w:rFonts w:ascii="Aptos" w:hAnsi="Aptos" w:eastAsia="Aptos"/>
                <w:color w:val="0E2D3E"/>
                <w:sz w:val="16"/>
              </w:rPr>
              <w:t>Engine or tunnel unavailable. Verify local /health, public /health, cloudflared process and persistent route.</w:t>
            </w:r>
          </w:p>
        </w:tc>
      </w:tr>
      <w:tr>
        <w:tc>
          <w:tcPr>
            <w:tcW w:type="dxa" w:w="3024"/>
            <w:tcMar>
              <w:top w:w="75" w:type="dxa"/>
              <w:start w:w="90" w:type="dxa"/>
              <w:bottom w:w="75" w:type="dxa"/>
              <w:end w:w="90" w:type="dxa"/>
            </w:tcMar>
            <w:shd w:fill="F4FAFC"/>
            <w:vAlign w:val="top"/>
          </w:tcPr>
          <w:p>
            <w:r>
              <w:rPr>
                <w:rFonts w:ascii="Aptos" w:hAnsi="Aptos" w:eastAsia="Aptos"/>
                <w:color w:val="0E2D3E"/>
                <w:sz w:val="16"/>
              </w:rPr>
              <w:t>Engine root says Not Found</w:t>
            </w:r>
          </w:p>
        </w:tc>
        <w:tc>
          <w:tcPr>
            <w:tcW w:type="dxa" w:w="6768"/>
            <w:tcMar>
              <w:top w:w="75" w:type="dxa"/>
              <w:start w:w="90" w:type="dxa"/>
              <w:bottom w:w="75" w:type="dxa"/>
              <w:end w:w="90" w:type="dxa"/>
            </w:tcMar>
            <w:shd w:fill="F4FAFC"/>
            <w:vAlign w:val="top"/>
          </w:tcPr>
          <w:p>
            <w:r>
              <w:rPr>
                <w:rFonts w:ascii="Aptos" w:hAnsi="Aptos" w:eastAsia="Aptos"/>
                <w:color w:val="0E2D3E"/>
                <w:sz w:val="16"/>
              </w:rPr>
              <w:t>Expected for the root route. Test /health and /setup.</w:t>
            </w:r>
          </w:p>
        </w:tc>
      </w:tr>
      <w:tr>
        <w:tc>
          <w:tcPr>
            <w:tcW w:type="dxa" w:w="3024"/>
            <w:tcMar>
              <w:top w:w="75" w:type="dxa"/>
              <w:start w:w="90" w:type="dxa"/>
              <w:bottom w:w="75" w:type="dxa"/>
              <w:end w:w="90" w:type="dxa"/>
            </w:tcMar>
            <w:vAlign w:val="top"/>
          </w:tcPr>
          <w:p>
            <w:r>
              <w:rPr>
                <w:rFonts w:ascii="Aptos" w:hAnsi="Aptos" w:eastAsia="Aptos"/>
                <w:color w:val="0E2D3E"/>
                <w:sz w:val="16"/>
              </w:rPr>
              <w:t>Agent remains on Queued</w:t>
            </w:r>
          </w:p>
        </w:tc>
        <w:tc>
          <w:tcPr>
            <w:tcW w:type="dxa" w:w="6768"/>
            <w:tcMar>
              <w:top w:w="75" w:type="dxa"/>
              <w:start w:w="90" w:type="dxa"/>
              <w:bottom w:w="75" w:type="dxa"/>
              <w:end w:w="90" w:type="dxa"/>
            </w:tcMar>
            <w:vAlign w:val="top"/>
          </w:tcPr>
          <w:p>
            <w:r>
              <w:rPr>
                <w:rFonts w:ascii="Aptos" w:hAnsi="Aptos" w:eastAsia="Aptos"/>
                <w:color w:val="0E2D3E"/>
                <w:sz w:val="16"/>
              </w:rPr>
              <w:t>Wait for the worker; use Check Status Now; verify the status endpoint, bridge, browser console and LLM configuration.</w:t>
            </w:r>
          </w:p>
        </w:tc>
      </w:tr>
      <w:tr>
        <w:tc>
          <w:tcPr>
            <w:tcW w:type="dxa" w:w="3024"/>
            <w:tcMar>
              <w:top w:w="75" w:type="dxa"/>
              <w:start w:w="90" w:type="dxa"/>
              <w:bottom w:w="75" w:type="dxa"/>
              <w:end w:w="90" w:type="dxa"/>
            </w:tcMar>
            <w:shd w:fill="F4FAFC"/>
            <w:vAlign w:val="top"/>
          </w:tcPr>
          <w:p>
            <w:r>
              <w:rPr>
                <w:rFonts w:ascii="Aptos" w:hAnsi="Aptos" w:eastAsia="Aptos"/>
                <w:color w:val="0E2D3E"/>
                <w:sz w:val="16"/>
              </w:rPr>
              <w:t>Agent produces degraded output</w:t>
            </w:r>
          </w:p>
        </w:tc>
        <w:tc>
          <w:tcPr>
            <w:tcW w:type="dxa" w:w="6768"/>
            <w:tcMar>
              <w:top w:w="75" w:type="dxa"/>
              <w:start w:w="90" w:type="dxa"/>
              <w:bottom w:w="75" w:type="dxa"/>
              <w:end w:w="90" w:type="dxa"/>
            </w:tcMar>
            <w:shd w:fill="F4FAFC"/>
            <w:vAlign w:val="top"/>
          </w:tcPr>
          <w:p>
            <w:r>
              <w:rPr>
                <w:rFonts w:ascii="Aptos" w:hAnsi="Aptos" w:eastAsia="Aptos"/>
                <w:color w:val="0E2D3E"/>
                <w:sz w:val="16"/>
              </w:rPr>
              <w:t>Live provider/model unavailable or not configured. Review Setup Console and run the approved LLM configuration workflow.</w:t>
            </w:r>
          </w:p>
        </w:tc>
      </w:tr>
      <w:tr>
        <w:tc>
          <w:tcPr>
            <w:tcW w:type="dxa" w:w="3024"/>
            <w:tcMar>
              <w:top w:w="75" w:type="dxa"/>
              <w:start w:w="90" w:type="dxa"/>
              <w:bottom w:w="75" w:type="dxa"/>
              <w:end w:w="90" w:type="dxa"/>
            </w:tcMar>
            <w:vAlign w:val="top"/>
          </w:tcPr>
          <w:p>
            <w:r>
              <w:rPr>
                <w:rFonts w:ascii="Aptos" w:hAnsi="Aptos" w:eastAsia="Aptos"/>
                <w:color w:val="0E2D3E"/>
                <w:sz w:val="16"/>
              </w:rPr>
              <w:t>Public visitor sees wrong page</w:t>
            </w:r>
          </w:p>
        </w:tc>
        <w:tc>
          <w:tcPr>
            <w:tcW w:type="dxa" w:w="6768"/>
            <w:tcMar>
              <w:top w:w="75" w:type="dxa"/>
              <w:start w:w="90" w:type="dxa"/>
              <w:bottom w:w="75" w:type="dxa"/>
              <w:end w:w="90" w:type="dxa"/>
            </w:tcMar>
            <w:vAlign w:val="top"/>
          </w:tcPr>
          <w:p>
            <w:r>
              <w:rPr>
                <w:rFonts w:ascii="Aptos" w:hAnsi="Aptos" w:eastAsia="Aptos"/>
                <w:color w:val="0E2D3E"/>
                <w:sz w:val="16"/>
              </w:rPr>
              <w:t>Test in incognito; verify Front Door ON/OFF and Access Mode separately.</w:t>
            </w:r>
          </w:p>
        </w:tc>
      </w:tr>
      <w:tr>
        <w:tc>
          <w:tcPr>
            <w:tcW w:type="dxa" w:w="3024"/>
            <w:tcMar>
              <w:top w:w="75" w:type="dxa"/>
              <w:start w:w="90" w:type="dxa"/>
              <w:bottom w:w="75" w:type="dxa"/>
              <w:end w:w="90" w:type="dxa"/>
            </w:tcMar>
            <w:shd w:fill="F4FAFC"/>
            <w:vAlign w:val="top"/>
          </w:tcPr>
          <w:p>
            <w:r>
              <w:rPr>
                <w:rFonts w:ascii="Aptos" w:hAnsi="Aptos" w:eastAsia="Aptos"/>
                <w:color w:val="0E2D3E"/>
                <w:sz w:val="16"/>
              </w:rPr>
              <w:t>New domain routes return 404</w:t>
            </w:r>
          </w:p>
        </w:tc>
        <w:tc>
          <w:tcPr>
            <w:tcW w:type="dxa" w:w="6768"/>
            <w:tcMar>
              <w:top w:w="75" w:type="dxa"/>
              <w:start w:w="90" w:type="dxa"/>
              <w:bottom w:w="75" w:type="dxa"/>
              <w:end w:w="90" w:type="dxa"/>
            </w:tcMar>
            <w:shd w:fill="F4FAFC"/>
            <w:vAlign w:val="top"/>
          </w:tcPr>
          <w:p>
            <w:r>
              <w:rPr>
                <w:rFonts w:ascii="Aptos" w:hAnsi="Aptos" w:eastAsia="Aptos"/>
                <w:color w:val="0E2D3E"/>
                <w:sz w:val="16"/>
              </w:rPr>
              <w:t>Resave WordPress Permalinks after domain assignment; confirm public paths and page synchronization.</w:t>
            </w:r>
          </w:p>
        </w:tc>
      </w:tr>
      <w:tr>
        <w:tc>
          <w:tcPr>
            <w:tcW w:type="dxa" w:w="3024"/>
            <w:tcMar>
              <w:top w:w="75" w:type="dxa"/>
              <w:start w:w="90" w:type="dxa"/>
              <w:bottom w:w="75" w:type="dxa"/>
              <w:end w:w="90" w:type="dxa"/>
            </w:tcMar>
            <w:vAlign w:val="top"/>
          </w:tcPr>
          <w:p>
            <w:r>
              <w:rPr>
                <w:rFonts w:ascii="Aptos" w:hAnsi="Aptos" w:eastAsia="Aptos"/>
                <w:color w:val="0E2D3E"/>
                <w:sz w:val="16"/>
              </w:rPr>
              <w:t>External directory link opens admin/login</w:t>
            </w:r>
          </w:p>
        </w:tc>
        <w:tc>
          <w:tcPr>
            <w:tcW w:type="dxa" w:w="6768"/>
            <w:tcMar>
              <w:top w:w="75" w:type="dxa"/>
              <w:start w:w="90" w:type="dxa"/>
              <w:bottom w:w="75" w:type="dxa"/>
              <w:end w:w="90" w:type="dxa"/>
            </w:tcMar>
            <w:vAlign w:val="top"/>
          </w:tcPr>
          <w:p>
            <w:r>
              <w:rPr>
                <w:rFonts w:ascii="Aptos" w:hAnsi="Aptos" w:eastAsia="Aptos"/>
                <w:color w:val="0E2D3E"/>
                <w:sz w:val="16"/>
              </w:rPr>
              <w:t>Verify referral-route patch/Engine route family and external destination.</w:t>
            </w:r>
          </w:p>
        </w:tc>
      </w:tr>
      <w:tr>
        <w:tc>
          <w:tcPr>
            <w:tcW w:type="dxa" w:w="3024"/>
            <w:tcMar>
              <w:top w:w="75" w:type="dxa"/>
              <w:start w:w="90" w:type="dxa"/>
              <w:bottom w:w="75" w:type="dxa"/>
              <w:end w:w="90" w:type="dxa"/>
            </w:tcMar>
            <w:shd w:fill="F4FAFC"/>
            <w:vAlign w:val="top"/>
          </w:tcPr>
          <w:p>
            <w:r>
              <w:rPr>
                <w:rFonts w:ascii="Aptos" w:hAnsi="Aptos" w:eastAsia="Aptos"/>
                <w:color w:val="0E2D3E"/>
                <w:sz w:val="16"/>
              </w:rPr>
              <w:t>Images or styles missing after cutover</w:t>
            </w:r>
          </w:p>
        </w:tc>
        <w:tc>
          <w:tcPr>
            <w:tcW w:type="dxa" w:w="6768"/>
            <w:tcMar>
              <w:top w:w="75" w:type="dxa"/>
              <w:start w:w="90" w:type="dxa"/>
              <w:bottom w:w="75" w:type="dxa"/>
              <w:end w:w="90" w:type="dxa"/>
            </w:tcMar>
            <w:shd w:fill="F4FAFC"/>
            <w:vAlign w:val="top"/>
          </w:tcPr>
          <w:p>
            <w:r>
              <w:rPr>
                <w:rFonts w:ascii="Aptos" w:hAnsi="Aptos" w:eastAsia="Aptos"/>
                <w:color w:val="0E2D3E"/>
                <w:sz w:val="16"/>
              </w:rPr>
              <w:t>Flush WordPress/GoDaddy/CDN/browser cache and rebuild/synchronize if required.</w:t>
            </w:r>
          </w:p>
        </w:tc>
      </w:tr>
      <w:tr>
        <w:tc>
          <w:tcPr>
            <w:tcW w:type="dxa" w:w="3024"/>
            <w:tcMar>
              <w:top w:w="75" w:type="dxa"/>
              <w:start w:w="90" w:type="dxa"/>
              <w:bottom w:w="75" w:type="dxa"/>
              <w:end w:w="90" w:type="dxa"/>
            </w:tcMar>
            <w:vAlign w:val="top"/>
          </w:tcPr>
          <w:p>
            <w:r>
              <w:rPr>
                <w:rFonts w:ascii="Aptos" w:hAnsi="Aptos" w:eastAsia="Aptos"/>
                <w:color w:val="0E2D3E"/>
                <w:sz w:val="16"/>
              </w:rPr>
              <w:t>Cloudflare hostname fails</w:t>
            </w:r>
          </w:p>
        </w:tc>
        <w:tc>
          <w:tcPr>
            <w:tcW w:type="dxa" w:w="6768"/>
            <w:tcMar>
              <w:top w:w="75" w:type="dxa"/>
              <w:start w:w="90" w:type="dxa"/>
              <w:bottom w:w="75" w:type="dxa"/>
              <w:end w:w="90" w:type="dxa"/>
            </w:tcMar>
            <w:vAlign w:val="top"/>
          </w:tcPr>
          <w:p>
            <w:r>
              <w:rPr>
                <w:rFonts w:ascii="Aptos" w:hAnsi="Aptos" w:eastAsia="Aptos"/>
                <w:color w:val="0E2D3E"/>
                <w:sz w:val="16"/>
              </w:rPr>
              <w:t>Verify published application route points to the correct local port and tunnel is Healthy.</w:t>
            </w:r>
          </w:p>
        </w:tc>
      </w:tr>
      <w:tr>
        <w:tc>
          <w:tcPr>
            <w:tcW w:type="dxa" w:w="3024"/>
            <w:tcMar>
              <w:top w:w="75" w:type="dxa"/>
              <w:start w:w="90" w:type="dxa"/>
              <w:bottom w:w="75" w:type="dxa"/>
              <w:end w:w="90" w:type="dxa"/>
            </w:tcMar>
            <w:shd w:fill="F4FAFC"/>
            <w:vAlign w:val="top"/>
          </w:tcPr>
          <w:p>
            <w:r>
              <w:rPr>
                <w:rFonts w:ascii="Aptos" w:hAnsi="Aptos" w:eastAsia="Aptos"/>
                <w:color w:val="0E2D3E"/>
                <w:sz w:val="16"/>
              </w:rPr>
              <w:t>Staging affects production</w:t>
            </w:r>
          </w:p>
        </w:tc>
        <w:tc>
          <w:tcPr>
            <w:tcW w:type="dxa" w:w="6768"/>
            <w:tcMar>
              <w:top w:w="75" w:type="dxa"/>
              <w:start w:w="90" w:type="dxa"/>
              <w:bottom w:w="75" w:type="dxa"/>
              <w:end w:w="90" w:type="dxa"/>
            </w:tcMar>
            <w:shd w:fill="F4FAFC"/>
            <w:vAlign w:val="top"/>
          </w:tcPr>
          <w:p>
            <w:r>
              <w:rPr>
                <w:rFonts w:ascii="Aptos" w:hAnsi="Aptos" w:eastAsia="Aptos"/>
                <w:color w:val="0E2D3E"/>
                <w:sz w:val="16"/>
              </w:rPr>
              <w:t>Stop immediately and verify separate port, endpoint, WordPress host, install ID and state.</w:t>
            </w:r>
          </w:p>
        </w:tc>
      </w:tr>
    </w:tbl>
    <w:p>
      <w:pPr>
        <w:spacing w:after="20"/>
      </w:pPr>
    </w:p>
    <w:p>
      <w:r>
        <w:br w:type="page"/>
      </w:r>
    </w:p>
    <w:p>
      <w:pPr>
        <w:pStyle w:val="Heading1"/>
        <w:spacing w:before="0"/>
      </w:pPr>
      <w:r>
        <w:rPr>
          <w:rFonts w:ascii="Aptos Display" w:hAnsi="Aptos Display" w:eastAsia="Aptos Display"/>
          <w:b/>
          <w:color w:val="073B5C"/>
          <w:sz w:val="36"/>
        </w:rPr>
        <w:t>22. Security, Privacy, Source, and Claims Rules</w:t>
      </w:r>
    </w:p>
    <w:p>
      <w:pPr>
        <w:pStyle w:val="ListBullet"/>
        <w:spacing w:after="40"/>
      </w:pPr>
      <w:r>
        <w:rPr>
          <w:rFonts w:ascii="Aptos" w:hAnsi="Aptos" w:eastAsia="Aptos"/>
          <w:sz w:val="18"/>
        </w:rPr>
        <w:t>Use only approved accounts and do not share administrator credentials.</w:t>
      </w:r>
    </w:p>
    <w:p>
      <w:pPr>
        <w:pStyle w:val="ListBullet"/>
        <w:spacing w:after="40"/>
      </w:pPr>
      <w:r>
        <w:rPr>
          <w:rFonts w:ascii="Aptos" w:hAnsi="Aptos" w:eastAsia="Aptos"/>
          <w:sz w:val="18"/>
        </w:rPr>
        <w:t>Do not paste LLM API keys, WordPress pairing secrets, Stripe secrets or private recovery materials into public pages or screenshots.</w:t>
      </w:r>
    </w:p>
    <w:p>
      <w:pPr>
        <w:pStyle w:val="ListBullet"/>
        <w:spacing w:after="40"/>
      </w:pPr>
      <w:r>
        <w:rPr>
          <w:rFonts w:ascii="Aptos" w:hAnsi="Aptos" w:eastAsia="Aptos"/>
          <w:sz w:val="18"/>
        </w:rPr>
        <w:t>Confirm sources and confidence before using portal intelligence commercially.</w:t>
      </w:r>
    </w:p>
    <w:p>
      <w:pPr>
        <w:pStyle w:val="ListBullet"/>
        <w:spacing w:after="40"/>
      </w:pPr>
      <w:r>
        <w:rPr>
          <w:rFonts w:ascii="Aptos" w:hAnsi="Aptos" w:eastAsia="Aptos"/>
          <w:sz w:val="18"/>
        </w:rPr>
        <w:t>Do not describe listings as verified, approved, official or partnered unless formally confirmed.</w:t>
      </w:r>
    </w:p>
    <w:p>
      <w:pPr>
        <w:pStyle w:val="ListBullet"/>
        <w:spacing w:after="40"/>
      </w:pPr>
      <w:r>
        <w:rPr>
          <w:rFonts w:ascii="Aptos" w:hAnsi="Aptos" w:eastAsia="Aptos"/>
          <w:sz w:val="18"/>
        </w:rPr>
        <w:t>Do not treat agent output as legal, engineering, safety, regulatory, financial or investment advice.</w:t>
      </w:r>
    </w:p>
    <w:p>
      <w:pPr>
        <w:pStyle w:val="ListBullet"/>
        <w:spacing w:after="40"/>
      </w:pPr>
      <w:r>
        <w:rPr>
          <w:rFonts w:ascii="Aptos" w:hAnsi="Aptos" w:eastAsia="Aptos"/>
          <w:sz w:val="18"/>
        </w:rPr>
        <w:t>Use human approval for publication, outreach, pricing, contracts, legal/regulatory claims, transactions and payment decisions.</w:t>
      </w:r>
    </w:p>
    <w:p>
      <w:pPr>
        <w:pStyle w:val="ListBullet"/>
        <w:spacing w:after="40"/>
      </w:pPr>
      <w:r>
        <w:rPr>
          <w:rFonts w:ascii="Aptos" w:hAnsi="Aptos" w:eastAsia="Aptos"/>
          <w:sz w:val="18"/>
        </w:rPr>
        <w:t>Report incorrect classification, broken links, stale data or misleading records through the portal inquiry/support path.</w:t>
      </w:r>
    </w:p>
    <w:tbl>
      <w:tblPr>
        <w:tblW w:type="auto" w:w="0"/>
        <w:jc w:val="center"/>
        <w:tblLayout w:type="autofit"/>
        <w:tblLook w:firstColumn="1" w:firstRow="1" w:lastColumn="0" w:lastRow="0" w:noHBand="0" w:noVBand="1" w:val="04A0"/>
      </w:tblPr>
      <w:tblGrid>
        <w:gridCol w:w="10340"/>
      </w:tblGrid>
      <w:tr>
        <w:trPr>
          <w:cantSplit/>
        </w:trPr>
        <w:tc>
          <w:tcPr>
            <w:tcW w:type="dxa" w:w="10340"/>
            <w:shd w:fill="EAF7FB"/>
            <w:tcBorders>
              <w:top w:val="single" w:sz="2" w:color="EAF7FB"/>
              <w:left w:val="single" w:sz="18" w:color="00A6C8"/>
              <w:bottom w:val="single" w:sz="2" w:color="EAF7FB"/>
              <w:right w:val="single" w:sz="2" w:color="EAF7FB"/>
            </w:tcBorders>
            <w:tcMar>
              <w:top w:w="120" w:type="dxa"/>
              <w:start w:w="160" w:type="dxa"/>
              <w:bottom w:w="120" w:type="dxa"/>
              <w:end w:w="160" w:type="dxa"/>
            </w:tcMar>
          </w:tcPr>
          <w:p>
            <w:r>
              <w:rPr>
                <w:rFonts w:ascii="Aptos" w:hAnsi="Aptos" w:eastAsia="Aptos"/>
                <w:b/>
                <w:color w:val="073B5C"/>
                <w:sz w:val="20"/>
              </w:rPr>
              <w:t>Hostile-auditor rule</w:t>
            </w:r>
          </w:p>
          <w:p>
            <w:pPr>
              <w:spacing w:after="0"/>
            </w:pPr>
            <w:r>
              <w:rPr>
                <w:rFonts w:ascii="Aptos" w:hAnsi="Aptos" w:eastAsia="Aptos"/>
                <w:color w:val="0E2D3E"/>
                <w:sz w:val="18"/>
              </w:rPr>
              <w:t>When the Portal Engine, a source and an agent disagree, preserve the disagreement, identify the evidence, label uncertainty and escalate for review. Do not silently reconcile the record by inventing certainty.</w:t>
            </w:r>
          </w:p>
        </w:tc>
      </w:tr>
    </w:tbl>
    <w:p>
      <w:pPr>
        <w:spacing w:after="0"/>
      </w:pPr>
    </w:p>
    <w:p>
      <w:r>
        <w:br w:type="page"/>
      </w:r>
    </w:p>
    <w:p>
      <w:pPr>
        <w:pStyle w:val="Heading1"/>
        <w:spacing w:before="0"/>
      </w:pPr>
      <w:r>
        <w:rPr>
          <w:rFonts w:ascii="Aptos Display" w:hAnsi="Aptos Display" w:eastAsia="Aptos Display"/>
          <w:b/>
          <w:color w:val="073B5C"/>
          <w:sz w:val="36"/>
        </w:rPr>
        <w:t>23. Core Route and Function Reference</w:t>
      </w:r>
    </w:p>
    <w:tbl>
      <w:tblPr>
        <w:tblStyle w:val="TableGrid"/>
        <w:tblW w:type="auto" w:w="0"/>
        <w:jc w:val="center"/>
        <w:tblLook w:firstColumn="1" w:firstRow="1" w:lastColumn="0" w:lastRow="0" w:noHBand="0" w:noVBand="1" w:val="04A0"/>
      </w:tblPr>
      <w:tblGrid>
        <w:gridCol w:w="5170"/>
        <w:gridCol w:w="5170"/>
      </w:tblGrid>
      <w:tr>
        <w:trPr>
          <w:tblHeader w:val="true"/>
        </w:trPr>
        <w:tc>
          <w:tcPr>
            <w:tcW w:type="dxa" w:w="3528"/>
            <w:shd w:fill="073B5C"/>
            <w:tcMar>
              <w:top w:w="90" w:type="dxa"/>
              <w:start w:w="100" w:type="dxa"/>
              <w:bottom w:w="90" w:type="dxa"/>
              <w:end w:w="100" w:type="dxa"/>
            </w:tcMar>
          </w:tcPr>
          <w:p>
            <w:pPr>
              <w:jc w:val="left"/>
            </w:pPr>
            <w:r>
              <w:rPr>
                <w:rFonts w:ascii="Aptos" w:hAnsi="Aptos" w:eastAsia="Aptos"/>
                <w:b/>
                <w:color w:val="FFFFFF"/>
                <w:sz w:val="18"/>
              </w:rPr>
              <w:t>Route Family / Page</w:t>
            </w:r>
          </w:p>
        </w:tc>
        <w:tc>
          <w:tcPr>
            <w:tcW w:type="dxa" w:w="6264"/>
            <w:shd w:fill="073B5C"/>
            <w:tcMar>
              <w:top w:w="90" w:type="dxa"/>
              <w:start w:w="100" w:type="dxa"/>
              <w:bottom w:w="90" w:type="dxa"/>
              <w:end w:w="100" w:type="dxa"/>
            </w:tcMar>
          </w:tcPr>
          <w:p>
            <w:pPr>
              <w:jc w:val="left"/>
            </w:pPr>
            <w:r>
              <w:rPr>
                <w:rFonts w:ascii="Aptos" w:hAnsi="Aptos" w:eastAsia="Aptos"/>
                <w:b/>
                <w:color w:val="FFFFFF"/>
                <w:sz w:val="18"/>
              </w:rPr>
              <w:t>Function</w:t>
            </w:r>
          </w:p>
        </w:tc>
      </w:tr>
      <w:tr>
        <w:tc>
          <w:tcPr>
            <w:tcW w:type="dxa" w:w="3528"/>
            <w:tcMar>
              <w:top w:w="75" w:type="dxa"/>
              <w:start w:w="90" w:type="dxa"/>
              <w:bottom w:w="75" w:type="dxa"/>
              <w:end w:w="90" w:type="dxa"/>
            </w:tcMar>
            <w:vAlign w:val="top"/>
          </w:tcPr>
          <w:p>
            <w:r>
              <w:rPr>
                <w:rFonts w:ascii="Aptos" w:hAnsi="Aptos" w:eastAsia="Aptos"/>
                <w:color w:val="0E2D3E"/>
                <w:sz w:val="16"/>
              </w:rPr>
              <w:t>/</w:t>
            </w:r>
          </w:p>
        </w:tc>
        <w:tc>
          <w:tcPr>
            <w:tcW w:type="dxa" w:w="6264"/>
            <w:tcMar>
              <w:top w:w="75" w:type="dxa"/>
              <w:start w:w="90" w:type="dxa"/>
              <w:bottom w:w="75" w:type="dxa"/>
              <w:end w:w="90" w:type="dxa"/>
            </w:tcMar>
            <w:vAlign w:val="top"/>
          </w:tcPr>
          <w:p>
            <w:r>
              <w:rPr>
                <w:rFonts w:ascii="Aptos" w:hAnsi="Aptos" w:eastAsia="Aptos"/>
                <w:color w:val="0E2D3E"/>
                <w:sz w:val="16"/>
              </w:rPr>
              <w:t>Front door or homepage depending on visitor/account state.</w:t>
            </w:r>
          </w:p>
        </w:tc>
      </w:tr>
      <w:tr>
        <w:tc>
          <w:tcPr>
            <w:tcW w:type="dxa" w:w="3528"/>
            <w:tcMar>
              <w:top w:w="75" w:type="dxa"/>
              <w:start w:w="90" w:type="dxa"/>
              <w:bottom w:w="75" w:type="dxa"/>
              <w:end w:w="90" w:type="dxa"/>
            </w:tcMar>
            <w:shd w:fill="F4FAFC"/>
            <w:vAlign w:val="top"/>
          </w:tcPr>
          <w:p>
            <w:r>
              <w:rPr>
                <w:rFonts w:ascii="Aptos" w:hAnsi="Aptos" w:eastAsia="Aptos"/>
                <w:color w:val="0E2D3E"/>
                <w:sz w:val="16"/>
              </w:rPr>
              <w:t>/blue-ammonia-member-access/</w:t>
            </w:r>
          </w:p>
        </w:tc>
        <w:tc>
          <w:tcPr>
            <w:tcW w:type="dxa" w:w="6264"/>
            <w:tcMar>
              <w:top w:w="75" w:type="dxa"/>
              <w:start w:w="90" w:type="dxa"/>
              <w:bottom w:w="75" w:type="dxa"/>
              <w:end w:w="90" w:type="dxa"/>
            </w:tcMar>
            <w:shd w:fill="F4FAFC"/>
            <w:vAlign w:val="top"/>
          </w:tcPr>
          <w:p>
            <w:r>
              <w:rPr>
                <w:rFonts w:ascii="Aptos" w:hAnsi="Aptos" w:eastAsia="Aptos"/>
                <w:color w:val="0E2D3E"/>
                <w:sz w:val="16"/>
              </w:rPr>
              <w:t>Member login and account recovery.</w:t>
            </w:r>
          </w:p>
        </w:tc>
      </w:tr>
      <w:tr>
        <w:tc>
          <w:tcPr>
            <w:tcW w:type="dxa" w:w="3528"/>
            <w:tcMar>
              <w:top w:w="75" w:type="dxa"/>
              <w:start w:w="90" w:type="dxa"/>
              <w:bottom w:w="75" w:type="dxa"/>
              <w:end w:w="90" w:type="dxa"/>
            </w:tcMar>
            <w:vAlign w:val="top"/>
          </w:tcPr>
          <w:p>
            <w:r>
              <w:rPr>
                <w:rFonts w:ascii="Aptos" w:hAnsi="Aptos" w:eastAsia="Aptos"/>
                <w:color w:val="0E2D3E"/>
                <w:sz w:val="16"/>
              </w:rPr>
              <w:t>/blue-ammonia-commercial-member-dashboard/</w:t>
            </w:r>
          </w:p>
        </w:tc>
        <w:tc>
          <w:tcPr>
            <w:tcW w:type="dxa" w:w="6264"/>
            <w:tcMar>
              <w:top w:w="75" w:type="dxa"/>
              <w:start w:w="90" w:type="dxa"/>
              <w:bottom w:w="75" w:type="dxa"/>
              <w:end w:w="90" w:type="dxa"/>
            </w:tcMar>
            <w:vAlign w:val="top"/>
          </w:tcPr>
          <w:p>
            <w:r>
              <w:rPr>
                <w:rFonts w:ascii="Aptos" w:hAnsi="Aptos" w:eastAsia="Aptos"/>
                <w:color w:val="0E2D3E"/>
                <w:sz w:val="16"/>
              </w:rPr>
              <w:t>Authenticated account and entitlement dashboard.</w:t>
            </w:r>
          </w:p>
        </w:tc>
      </w:tr>
      <w:tr>
        <w:tc>
          <w:tcPr>
            <w:tcW w:type="dxa" w:w="3528"/>
            <w:tcMar>
              <w:top w:w="75" w:type="dxa"/>
              <w:start w:w="90" w:type="dxa"/>
              <w:bottom w:w="75" w:type="dxa"/>
              <w:end w:w="90" w:type="dxa"/>
            </w:tcMar>
            <w:shd w:fill="F4FAFC"/>
            <w:vAlign w:val="top"/>
          </w:tcPr>
          <w:p>
            <w:r>
              <w:rPr>
                <w:rFonts w:ascii="Aptos" w:hAnsi="Aptos" w:eastAsia="Aptos"/>
                <w:color w:val="0E2D3E"/>
                <w:sz w:val="16"/>
              </w:rPr>
              <w:t>/global-map/</w:t>
            </w:r>
          </w:p>
        </w:tc>
        <w:tc>
          <w:tcPr>
            <w:tcW w:type="dxa" w:w="6264"/>
            <w:tcMar>
              <w:top w:w="75" w:type="dxa"/>
              <w:start w:w="90" w:type="dxa"/>
              <w:bottom w:w="75" w:type="dxa"/>
              <w:end w:w="90" w:type="dxa"/>
            </w:tcMar>
            <w:shd w:fill="F4FAFC"/>
            <w:vAlign w:val="top"/>
          </w:tcPr>
          <w:p>
            <w:r>
              <w:rPr>
                <w:rFonts w:ascii="Aptos" w:hAnsi="Aptos" w:eastAsia="Aptos"/>
                <w:color w:val="0E2D3E"/>
                <w:sz w:val="16"/>
              </w:rPr>
              <w:t>Global Intelligence Map.</w:t>
            </w:r>
          </w:p>
        </w:tc>
      </w:tr>
      <w:tr>
        <w:tc>
          <w:tcPr>
            <w:tcW w:type="dxa" w:w="3528"/>
            <w:tcMar>
              <w:top w:w="75" w:type="dxa"/>
              <w:start w:w="90" w:type="dxa"/>
              <w:bottom w:w="75" w:type="dxa"/>
              <w:end w:w="90" w:type="dxa"/>
            </w:tcMar>
            <w:vAlign w:val="top"/>
          </w:tcPr>
          <w:p>
            <w:r>
              <w:rPr>
                <w:rFonts w:ascii="Aptos" w:hAnsi="Aptos" w:eastAsia="Aptos"/>
                <w:color w:val="0E2D3E"/>
                <w:sz w:val="16"/>
              </w:rPr>
              <w:t>/agent/{slug}/</w:t>
            </w:r>
          </w:p>
        </w:tc>
        <w:tc>
          <w:tcPr>
            <w:tcW w:type="dxa" w:w="6264"/>
            <w:tcMar>
              <w:top w:w="75" w:type="dxa"/>
              <w:start w:w="90" w:type="dxa"/>
              <w:bottom w:w="75" w:type="dxa"/>
              <w:end w:w="90" w:type="dxa"/>
            </w:tcMar>
            <w:vAlign w:val="top"/>
          </w:tcPr>
          <w:p>
            <w:r>
              <w:rPr>
                <w:rFonts w:ascii="Aptos" w:hAnsi="Aptos" w:eastAsia="Aptos"/>
                <w:color w:val="0E2D3E"/>
                <w:sz w:val="16"/>
              </w:rPr>
              <w:t>Expert Center agent profile and console.</w:t>
            </w:r>
          </w:p>
        </w:tc>
      </w:tr>
      <w:tr>
        <w:tc>
          <w:tcPr>
            <w:tcW w:type="dxa" w:w="3528"/>
            <w:tcMar>
              <w:top w:w="75" w:type="dxa"/>
              <w:start w:w="90" w:type="dxa"/>
              <w:bottom w:w="75" w:type="dxa"/>
              <w:end w:w="90" w:type="dxa"/>
            </w:tcMar>
            <w:shd w:fill="F4FAFC"/>
            <w:vAlign w:val="top"/>
          </w:tcPr>
          <w:p>
            <w:r>
              <w:rPr>
                <w:rFonts w:ascii="Aptos" w:hAnsi="Aptos" w:eastAsia="Aptos"/>
                <w:color w:val="0E2D3E"/>
                <w:sz w:val="16"/>
              </w:rPr>
              <w:t>/agent/{slug}/job/{id}/</w:t>
            </w:r>
          </w:p>
        </w:tc>
        <w:tc>
          <w:tcPr>
            <w:tcW w:type="dxa" w:w="6264"/>
            <w:tcMar>
              <w:top w:w="75" w:type="dxa"/>
              <w:start w:w="90" w:type="dxa"/>
              <w:bottom w:w="75" w:type="dxa"/>
              <w:end w:w="90" w:type="dxa"/>
            </w:tcMar>
            <w:shd w:fill="F4FAFC"/>
            <w:vAlign w:val="top"/>
          </w:tcPr>
          <w:p>
            <w:r>
              <w:rPr>
                <w:rFonts w:ascii="Aptos" w:hAnsi="Aptos" w:eastAsia="Aptos"/>
                <w:color w:val="0E2D3E"/>
                <w:sz w:val="16"/>
              </w:rPr>
              <w:t>Agent progress and preserved output.</w:t>
            </w:r>
          </w:p>
        </w:tc>
      </w:tr>
      <w:tr>
        <w:tc>
          <w:tcPr>
            <w:tcW w:type="dxa" w:w="3528"/>
            <w:tcMar>
              <w:top w:w="75" w:type="dxa"/>
              <w:start w:w="90" w:type="dxa"/>
              <w:bottom w:w="75" w:type="dxa"/>
              <w:end w:w="90" w:type="dxa"/>
            </w:tcMar>
            <w:vAlign w:val="top"/>
          </w:tcPr>
          <w:p>
            <w:r>
              <w:rPr>
                <w:rFonts w:ascii="Aptos" w:hAnsi="Aptos" w:eastAsia="Aptos"/>
                <w:color w:val="0E2D3E"/>
                <w:sz w:val="16"/>
              </w:rPr>
              <w:t>/sector/{sector}/{kind}/</w:t>
            </w:r>
          </w:p>
        </w:tc>
        <w:tc>
          <w:tcPr>
            <w:tcW w:type="dxa" w:w="6264"/>
            <w:tcMar>
              <w:top w:w="75" w:type="dxa"/>
              <w:start w:w="90" w:type="dxa"/>
              <w:bottom w:w="75" w:type="dxa"/>
              <w:end w:w="90" w:type="dxa"/>
            </w:tcMar>
            <w:vAlign w:val="top"/>
          </w:tcPr>
          <w:p>
            <w:r>
              <w:rPr>
                <w:rFonts w:ascii="Aptos" w:hAnsi="Aptos" w:eastAsia="Aptos"/>
                <w:color w:val="0E2D3E"/>
                <w:sz w:val="16"/>
              </w:rPr>
              <w:t>Sector-specific buyer or supplier page.</w:t>
            </w:r>
          </w:p>
        </w:tc>
      </w:tr>
      <w:tr>
        <w:tc>
          <w:tcPr>
            <w:tcW w:type="dxa" w:w="3528"/>
            <w:tcMar>
              <w:top w:w="75" w:type="dxa"/>
              <w:start w:w="90" w:type="dxa"/>
              <w:bottom w:w="75" w:type="dxa"/>
              <w:end w:w="90" w:type="dxa"/>
            </w:tcMar>
            <w:shd w:fill="F4FAFC"/>
            <w:vAlign w:val="top"/>
          </w:tcPr>
          <w:p>
            <w:r>
              <w:rPr>
                <w:rFonts w:ascii="Aptos" w:hAnsi="Aptos" w:eastAsia="Aptos"/>
                <w:color w:val="0E2D3E"/>
                <w:sz w:val="16"/>
              </w:rPr>
              <w:t>/ba-go/{slug}/, /ba-sector-go/{slug}/, /r/{slug}/</w:t>
            </w:r>
          </w:p>
        </w:tc>
        <w:tc>
          <w:tcPr>
            <w:tcW w:type="dxa" w:w="6264"/>
            <w:tcMar>
              <w:top w:w="75" w:type="dxa"/>
              <w:start w:w="90" w:type="dxa"/>
              <w:bottom w:w="75" w:type="dxa"/>
              <w:end w:w="90" w:type="dxa"/>
            </w:tcMar>
            <w:shd w:fill="F4FAFC"/>
            <w:vAlign w:val="top"/>
          </w:tcPr>
          <w:p>
            <w:r>
              <w:rPr>
                <w:rFonts w:ascii="Aptos" w:hAnsi="Aptos" w:eastAsia="Aptos"/>
                <w:color w:val="0E2D3E"/>
                <w:sz w:val="16"/>
              </w:rPr>
              <w:t>Tracked external referral route families.</w:t>
            </w:r>
          </w:p>
        </w:tc>
      </w:tr>
      <w:tr>
        <w:tc>
          <w:tcPr>
            <w:tcW w:type="dxa" w:w="3528"/>
            <w:tcMar>
              <w:top w:w="75" w:type="dxa"/>
              <w:start w:w="90" w:type="dxa"/>
              <w:bottom w:w="75" w:type="dxa"/>
              <w:end w:w="90" w:type="dxa"/>
            </w:tcMar>
            <w:vAlign w:val="top"/>
          </w:tcPr>
          <w:p>
            <w:r>
              <w:rPr>
                <w:rFonts w:ascii="Aptos" w:hAnsi="Aptos" w:eastAsia="Aptos"/>
                <w:color w:val="0E2D3E"/>
                <w:sz w:val="16"/>
              </w:rPr>
              <w:t>Payments / subscriptions page</w:t>
            </w:r>
          </w:p>
        </w:tc>
        <w:tc>
          <w:tcPr>
            <w:tcW w:type="dxa" w:w="6264"/>
            <w:tcMar>
              <w:top w:w="75" w:type="dxa"/>
              <w:start w:w="90" w:type="dxa"/>
              <w:bottom w:w="75" w:type="dxa"/>
              <w:end w:w="90" w:type="dxa"/>
            </w:tcMar>
            <w:vAlign w:val="top"/>
          </w:tcPr>
          <w:p>
            <w:r>
              <w:rPr>
                <w:rFonts w:ascii="Aptos" w:hAnsi="Aptos" w:eastAsia="Aptos"/>
                <w:color w:val="0E2D3E"/>
                <w:sz w:val="16"/>
              </w:rPr>
              <w:t>Commercial options and approved checkout destinations.</w:t>
            </w:r>
          </w:p>
        </w:tc>
      </w:tr>
      <w:tr>
        <w:tc>
          <w:tcPr>
            <w:tcW w:type="dxa" w:w="3528"/>
            <w:tcMar>
              <w:top w:w="75" w:type="dxa"/>
              <w:start w:w="90" w:type="dxa"/>
              <w:bottom w:w="75" w:type="dxa"/>
              <w:end w:w="90" w:type="dxa"/>
            </w:tcMar>
            <w:shd w:fill="F4FAFC"/>
            <w:vAlign w:val="top"/>
          </w:tcPr>
          <w:p>
            <w:r>
              <w:rPr>
                <w:rFonts w:ascii="Aptos" w:hAnsi="Aptos" w:eastAsia="Aptos"/>
                <w:color w:val="0E2D3E"/>
                <w:sz w:val="16"/>
              </w:rPr>
              <w:t>Jobs / submit job / job pricing</w:t>
            </w:r>
          </w:p>
        </w:tc>
        <w:tc>
          <w:tcPr>
            <w:tcW w:type="dxa" w:w="6264"/>
            <w:tcMar>
              <w:top w:w="75" w:type="dxa"/>
              <w:start w:w="90" w:type="dxa"/>
              <w:bottom w:w="75" w:type="dxa"/>
              <w:end w:w="90" w:type="dxa"/>
            </w:tcMar>
            <w:shd w:fill="F4FAFC"/>
            <w:vAlign w:val="top"/>
          </w:tcPr>
          <w:p>
            <w:r>
              <w:rPr>
                <w:rFonts w:ascii="Aptos" w:hAnsi="Aptos" w:eastAsia="Aptos"/>
                <w:color w:val="0E2D3E"/>
                <w:sz w:val="16"/>
              </w:rPr>
              <w:t>Employment listings, submissions and commercial placement.</w:t>
            </w:r>
          </w:p>
        </w:tc>
      </w:tr>
      <w:tr>
        <w:tc>
          <w:tcPr>
            <w:tcW w:type="dxa" w:w="3528"/>
            <w:tcMar>
              <w:top w:w="75" w:type="dxa"/>
              <w:start w:w="90" w:type="dxa"/>
              <w:bottom w:w="75" w:type="dxa"/>
              <w:end w:w="90" w:type="dxa"/>
            </w:tcMar>
            <w:vAlign w:val="top"/>
          </w:tcPr>
          <w:p>
            <w:r>
              <w:rPr>
                <w:rFonts w:ascii="Aptos" w:hAnsi="Aptos" w:eastAsia="Aptos"/>
                <w:color w:val="0E2D3E"/>
                <w:sz w:val="16"/>
              </w:rPr>
              <w:t>Notification Center</w:t>
            </w:r>
          </w:p>
        </w:tc>
        <w:tc>
          <w:tcPr>
            <w:tcW w:type="dxa" w:w="6264"/>
            <w:tcMar>
              <w:top w:w="75" w:type="dxa"/>
              <w:start w:w="90" w:type="dxa"/>
              <w:bottom w:w="75" w:type="dxa"/>
              <w:end w:w="90" w:type="dxa"/>
            </w:tcMar>
            <w:vAlign w:val="top"/>
          </w:tcPr>
          <w:p>
            <w:r>
              <w:rPr>
                <w:rFonts w:ascii="Aptos" w:hAnsi="Aptos" w:eastAsia="Aptos"/>
                <w:color w:val="0E2D3E"/>
                <w:sz w:val="16"/>
              </w:rPr>
              <w:t>Subscriber rule and brief archive.</w:t>
            </w:r>
          </w:p>
        </w:tc>
      </w:tr>
      <w:tr>
        <w:tc>
          <w:tcPr>
            <w:tcW w:type="dxa" w:w="3528"/>
            <w:tcMar>
              <w:top w:w="75" w:type="dxa"/>
              <w:start w:w="90" w:type="dxa"/>
              <w:bottom w:w="75" w:type="dxa"/>
              <w:end w:w="90" w:type="dxa"/>
            </w:tcMar>
            <w:shd w:fill="F4FAFC"/>
            <w:vAlign w:val="top"/>
          </w:tcPr>
          <w:p>
            <w:r>
              <w:rPr>
                <w:rFonts w:ascii="Aptos" w:hAnsi="Aptos" w:eastAsia="Aptos"/>
                <w:color w:val="0E2D3E"/>
                <w:sz w:val="16"/>
              </w:rPr>
              <w:t>/health</w:t>
            </w:r>
          </w:p>
        </w:tc>
        <w:tc>
          <w:tcPr>
            <w:tcW w:type="dxa" w:w="6264"/>
            <w:tcMar>
              <w:top w:w="75" w:type="dxa"/>
              <w:start w:w="90" w:type="dxa"/>
              <w:bottom w:w="75" w:type="dxa"/>
              <w:end w:w="90" w:type="dxa"/>
            </w:tcMar>
            <w:shd w:fill="F4FAFC"/>
            <w:vAlign w:val="top"/>
          </w:tcPr>
          <w:p>
            <w:r>
              <w:rPr>
                <w:rFonts w:ascii="Aptos" w:hAnsi="Aptos" w:eastAsia="Aptos"/>
                <w:color w:val="0E2D3E"/>
                <w:sz w:val="16"/>
              </w:rPr>
              <w:t>Engine health/status JSON.</w:t>
            </w:r>
          </w:p>
        </w:tc>
      </w:tr>
      <w:tr>
        <w:tc>
          <w:tcPr>
            <w:tcW w:type="dxa" w:w="3528"/>
            <w:tcMar>
              <w:top w:w="75" w:type="dxa"/>
              <w:start w:w="90" w:type="dxa"/>
              <w:bottom w:w="75" w:type="dxa"/>
              <w:end w:w="90" w:type="dxa"/>
            </w:tcMar>
            <w:vAlign w:val="top"/>
          </w:tcPr>
          <w:p>
            <w:r>
              <w:rPr>
                <w:rFonts w:ascii="Aptos" w:hAnsi="Aptos" w:eastAsia="Aptos"/>
                <w:color w:val="0E2D3E"/>
                <w:sz w:val="16"/>
              </w:rPr>
              <w:t>/setup</w:t>
            </w:r>
          </w:p>
        </w:tc>
        <w:tc>
          <w:tcPr>
            <w:tcW w:type="dxa" w:w="6264"/>
            <w:tcMar>
              <w:top w:w="75" w:type="dxa"/>
              <w:start w:w="90" w:type="dxa"/>
              <w:bottom w:w="75" w:type="dxa"/>
              <w:end w:w="90" w:type="dxa"/>
            </w:tcMar>
            <w:vAlign w:val="top"/>
          </w:tcPr>
          <w:p>
            <w:r>
              <w:rPr>
                <w:rFonts w:ascii="Aptos" w:hAnsi="Aptos" w:eastAsia="Aptos"/>
                <w:color w:val="0E2D3E"/>
                <w:sz w:val="16"/>
              </w:rPr>
              <w:t>Local Engine Setup Console.</w:t>
            </w:r>
          </w:p>
        </w:tc>
      </w:tr>
    </w:tbl>
    <w:p>
      <w:pPr>
        <w:spacing w:after="20"/>
      </w:pPr>
    </w:p>
    <w:p>
      <w:pPr>
        <w:pStyle w:val="Heading1"/>
        <w:spacing w:before="0"/>
      </w:pPr>
      <w:r>
        <w:rPr>
          <w:rFonts w:ascii="Aptos Display" w:hAnsi="Aptos Display" w:eastAsia="Aptos Display"/>
          <w:b/>
          <w:color w:val="073B5C"/>
          <w:sz w:val="36"/>
        </w:rPr>
        <w:t>Support and document status</w:t>
      </w:r>
    </w:p>
    <w:p>
      <w:r>
        <w:rPr>
          <w:rFonts w:ascii="Aptos" w:hAnsi="Aptos" w:eastAsia="Aptos"/>
        </w:rPr>
        <w:t>This guide reflects the production Portal Engine baseline established during the August 2026 cutover. Portal routes, pricing, access packages and available modules may be updated through later governed builds. Use the live portal interface and current operator manifests as the final authority for active behavior.</w:t>
      </w:r>
    </w:p>
    <w:tbl>
      <w:tblPr>
        <w:tblW w:type="auto" w:w="0"/>
        <w:jc w:val="center"/>
        <w:tblLayout w:type="autofit"/>
        <w:tblLook w:firstColumn="1" w:firstRow="1" w:lastColumn="0" w:lastRow="0" w:noHBand="0" w:noVBand="1" w:val="04A0"/>
      </w:tblPr>
      <w:tblGrid>
        <w:gridCol w:w="10340"/>
      </w:tblGrid>
      <w:tr>
        <w:trPr>
          <w:cantSplit/>
        </w:trPr>
        <w:tc>
          <w:tcPr>
            <w:tcW w:type="dxa" w:w="10340"/>
            <w:shd w:fill="EAF7FB"/>
            <w:tcBorders>
              <w:top w:val="single" w:sz="2" w:color="EAF7FB"/>
              <w:left w:val="single" w:sz="18" w:color="00A6C8"/>
              <w:bottom w:val="single" w:sz="2" w:color="EAF7FB"/>
              <w:right w:val="single" w:sz="2" w:color="EAF7FB"/>
            </w:tcBorders>
            <w:tcMar>
              <w:top w:w="120" w:type="dxa"/>
              <w:start w:w="160" w:type="dxa"/>
              <w:bottom w:w="120" w:type="dxa"/>
              <w:end w:w="160" w:type="dxa"/>
            </w:tcMar>
          </w:tcPr>
          <w:p>
            <w:r>
              <w:rPr>
                <w:rFonts w:ascii="Aptos" w:hAnsi="Aptos" w:eastAsia="Aptos"/>
                <w:b/>
                <w:color w:val="073B5C"/>
                <w:sz w:val="20"/>
              </w:rPr>
              <w:t>Document baseline</w:t>
            </w:r>
          </w:p>
          <w:p>
            <w:pPr>
              <w:spacing w:after="0"/>
            </w:pPr>
            <w:r>
              <w:rPr>
                <w:rFonts w:ascii="Aptos" w:hAnsi="Aptos" w:eastAsia="Aptos"/>
                <w:color w:val="0E2D3E"/>
                <w:sz w:val="18"/>
              </w:rPr>
              <w:t>BAIOS Portal Engine Enterprise V2.1.7.3.1 | persistent production tunnel | enterprise WordPress bridge | front door | one-click trial | live LLM agents | auto-refresh | Intelligence Fabric | map | directories | jobs | notifications | payments | recovery materials.</w:t>
            </w:r>
          </w:p>
        </w:tc>
      </w:tr>
    </w:tbl>
    <w:p>
      <w:pPr>
        <w:spacing w:after="0"/>
      </w:pPr>
    </w:p>
    <w:sectPr w:rsidR="00FC693F" w:rsidRPr="0006063C" w:rsidSect="00034616">
      <w:headerReference w:type="default" r:id="rId9"/>
      <w:footerReference w:type="default" r:id="rId10"/>
      <w:pgSz w:w="12240" w:h="15840"/>
      <w:pgMar w:top="835" w:right="950" w:bottom="792" w:left="950" w:header="360" w:footer="36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auto" w:w="0"/>
      <w:jc w:val="center"/>
      <w:tblLook w:firstColumn="1" w:firstRow="1" w:lastColumn="0" w:lastRow="0" w:noHBand="0" w:noVBand="1" w:val="04A0"/>
    </w:tblPr>
    <w:tblGrid>
      <w:gridCol w:w="8352"/>
      <w:gridCol w:w="1872"/>
    </w:tblGrid>
    <w:tr>
      <w:tc>
        <w:tcPr>
          <w:tcW w:type="dxa" w:w="5112"/>
        </w:tcPr>
        <w:p>
          <w:pPr>
            <w:jc w:val="left"/>
          </w:pPr>
          <w:r>
            <w:rPr>
              <w:rFonts w:ascii="Aptos" w:hAnsi="Aptos" w:eastAsia="Aptos"/>
              <w:color w:val="5E6B73"/>
              <w:sz w:val="14"/>
            </w:rPr>
            <w:t>BlueAmmonia.com | Blue Ammonia Holdings LLC | Portal Engine documentation</w:t>
          </w:r>
        </w:p>
      </w:tc>
      <w:tc>
        <w:tcPr>
          <w:tcW w:type="dxa" w:w="5112"/>
        </w:tcPr>
        <w:p>
          <w:pPr>
            <w:jc w:val="right"/>
          </w:pPr>
          <w:r>
            <w:rPr>
              <w:rFonts w:ascii="Aptos" w:hAnsi="Aptos" w:eastAsia="Aptos"/>
              <w:color w:val="5E6B73"/>
              <w:sz w:val="14"/>
            </w:rPr>
            <w:t xml:space="preserve">Page </w:t>
            <w:fldChar w:fldCharType="begin"/>
            <w:instrText xml:space="preserve">PAGE</w:instrText>
            <w:fldChar w:fldCharType="end"/>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Aptos" w:hAnsi="Aptos" w:eastAsia="Aptos"/>
        <w:b/>
        <w:color w:val="073B5C"/>
        <w:sz w:val="16"/>
      </w:rPr>
      <w:t>BlueAmmonia.com Portal Engine User Guide V2</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2" w:lineRule="auto"/>
    </w:pPr>
    <w:rPr>
      <w:rFonts w:ascii="Aptos" w:hAnsi="Aptos" w:eastAsia="Aptos"/>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60" w:after="100"/>
      <w:outlineLvl w:val="0"/>
    </w:pPr>
    <w:rPr>
      <w:rFonts w:asciiTheme="majorHAnsi" w:eastAsiaTheme="majorEastAsia" w:hAnsiTheme="majorHAnsi" w:cstheme="majorBidi" w:ascii="Aptos Display" w:hAnsi="Aptos Display" w:eastAsia="Aptos Display"/>
      <w:b/>
      <w:bCs/>
      <w:color w:val="073B5C"/>
      <w:sz w:val="36"/>
      <w:szCs w:val="28"/>
    </w:rPr>
  </w:style>
  <w:style w:type="paragraph" w:styleId="Heading2">
    <w:name w:val="heading 2"/>
    <w:basedOn w:val="Normal"/>
    <w:next w:val="Normal"/>
    <w:link w:val="Heading2Char"/>
    <w:uiPriority w:val="9"/>
    <w:unhideWhenUsed/>
    <w:qFormat/>
    <w:rsid w:val="00FC693F"/>
    <w:pPr>
      <w:keepNext/>
      <w:keepLines/>
      <w:spacing w:before="160" w:after="100"/>
      <w:outlineLvl w:val="1"/>
    </w:pPr>
    <w:rPr>
      <w:rFonts w:asciiTheme="majorHAnsi" w:eastAsiaTheme="majorEastAsia" w:hAnsiTheme="majorHAnsi" w:cstheme="majorBidi" w:ascii="Aptos Display" w:hAnsi="Aptos Display" w:eastAsia="Aptos Display"/>
      <w:b/>
      <w:bCs/>
      <w:color w:val="0A4B70"/>
      <w:sz w:val="26"/>
      <w:szCs w:val="26"/>
    </w:rPr>
  </w:style>
  <w:style w:type="paragraph" w:styleId="Heading3">
    <w:name w:val="heading 3"/>
    <w:basedOn w:val="Normal"/>
    <w:next w:val="Normal"/>
    <w:link w:val="Heading3Char"/>
    <w:uiPriority w:val="9"/>
    <w:unhideWhenUsed/>
    <w:qFormat/>
    <w:rsid w:val="00FC693F"/>
    <w:pPr>
      <w:keepNext/>
      <w:keepLines/>
      <w:spacing w:before="160" w:after="100"/>
      <w:outlineLvl w:val="2"/>
    </w:pPr>
    <w:rPr>
      <w:rFonts w:asciiTheme="majorHAnsi" w:eastAsiaTheme="majorEastAsia" w:hAnsiTheme="majorHAnsi" w:cstheme="majorBidi" w:ascii="Aptos Display" w:hAnsi="Aptos Display" w:eastAsia="Aptos Display"/>
      <w:b/>
      <w:bCs/>
      <w:color w:val="00A6C8"/>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00" w:line="240" w:lineRule="auto" w:before="160"/>
      <w:contextualSpacing/>
    </w:pPr>
    <w:rPr>
      <w:rFonts w:asciiTheme="majorHAnsi" w:eastAsiaTheme="majorEastAsia" w:hAnsiTheme="majorHAnsi" w:cstheme="majorBidi" w:ascii="Aptos Display" w:hAnsi="Aptos Display" w:eastAsia="Aptos Display"/>
      <w:b/>
      <w:color w:val="073B5C"/>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160" w:after="100"/>
    </w:pPr>
    <w:rPr>
      <w:rFonts w:asciiTheme="majorHAnsi" w:eastAsiaTheme="majorEastAsia" w:hAnsiTheme="majorHAnsi" w:cstheme="majorBidi" w:ascii="Aptos" w:hAnsi="Aptos" w:eastAsia="Aptos"/>
      <w:b/>
      <w:i/>
      <w:iCs/>
      <w:color w:val="00A6C8"/>
      <w:spacing w:val="15"/>
      <w:sz w:val="32"/>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FigureCaption">
    <w:name w:val="Figure Caption"/>
    <w:pPr>
      <w:spacing w:before="40" w:after="140"/>
    </w:pPr>
    <w:rPr>
      <w:rFonts w:ascii="Aptos" w:hAnsi="Aptos" w:eastAsia="Aptos"/>
      <w:i/>
      <w:color w:val="5E6B73"/>
      <w:sz w:val="16"/>
    </w:rPr>
  </w:style>
  <w:style w:type="paragraph" w:customStyle="1" w:styleId="Callout">
    <w:name w:val="Callout"/>
    <w:rPr>
      <w:rFonts w:ascii="Aptos" w:hAnsi="Aptos" w:eastAsia="Aptos"/>
      <w:color w:val="0E2D3E"/>
      <w:sz w:val="19"/>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jpg"/><Relationship Id="rId12" Type="http://schemas.openxmlformats.org/officeDocument/2006/relationships/image" Target="media/image2.jpg"/><Relationship Id="rId13" Type="http://schemas.openxmlformats.org/officeDocument/2006/relationships/image" Target="media/image3.jpg"/><Relationship Id="rId14" Type="http://schemas.openxmlformats.org/officeDocument/2006/relationships/image" Target="media/image4.jpg"/><Relationship Id="rId15" Type="http://schemas.openxmlformats.org/officeDocument/2006/relationships/image" Target="media/image5.jpg"/><Relationship Id="rId16" Type="http://schemas.openxmlformats.org/officeDocument/2006/relationships/image" Target="media/image6.jpg"/><Relationship Id="rId17" Type="http://schemas.openxmlformats.org/officeDocument/2006/relationships/image" Target="media/image7.jpg"/><Relationship Id="rId18" Type="http://schemas.openxmlformats.org/officeDocument/2006/relationships/image" Target="media/image8.jpg"/><Relationship Id="rId19" Type="http://schemas.openxmlformats.org/officeDocument/2006/relationships/image" Target="media/image9.jpg"/><Relationship Id="rId20" Type="http://schemas.openxmlformats.org/officeDocument/2006/relationships/image" Target="media/image10.jpg"/><Relationship Id="rId21" Type="http://schemas.openxmlformats.org/officeDocument/2006/relationships/image" Target="media/image11.jpg"/><Relationship Id="rId22" Type="http://schemas.openxmlformats.org/officeDocument/2006/relationships/image" Target="media/image12.jpg"/><Relationship Id="rId23" Type="http://schemas.openxmlformats.org/officeDocument/2006/relationships/image" Target="media/image13.jpg"/><Relationship Id="rId24" Type="http://schemas.openxmlformats.org/officeDocument/2006/relationships/image" Target="media/image1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